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县级（区域）医疗资源</w:t>
      </w:r>
      <w:r>
        <w:rPr>
          <w:rFonts w:hint="eastAsia"/>
          <w:lang w:eastAsia="zh-CN"/>
        </w:rPr>
        <w:t>集中化运行</w:t>
      </w:r>
      <w:r>
        <w:rPr>
          <w:rFonts w:hint="eastAsia"/>
        </w:rPr>
        <w:t>规范</w:t>
      </w:r>
    </w:p>
    <w:p>
      <w:pPr>
        <w:pStyle w:val="198"/>
        <w:framePr w:h="6974" w:hRule="exact" w:wrap="around" w:x="1419" w:anchorLock="1"/>
      </w:pPr>
      <w:r>
        <w:rPr>
          <w:rFonts w:hint="eastAsia"/>
        </w:rPr>
        <w:t>第3部分：智慧急救中心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County-Level (Regional) Medical Resource Centralization Operation Standards——</w:t>
      </w:r>
    </w:p>
    <w:p>
      <w:pPr>
        <w:pStyle w:val="126"/>
        <w:framePr w:w="9639" w:h="6974" w:hRule="exact" w:wrap="around" w:vAnchor="page" w:hAnchor="page" w:x="1419" w:y="6408" w:anchorLock="1"/>
        <w:textAlignment w:val="bottom"/>
        <w:rPr>
          <w:rFonts w:ascii="黑体" w:hAnsi="黑体" w:eastAsia="黑体"/>
          <w:szCs w:val="28"/>
        </w:rPr>
      </w:pPr>
      <w:r>
        <w:rPr>
          <w:rFonts w:hint="eastAsia" w:ascii="黑体" w:hAnsi="黑体" w:eastAsia="黑体"/>
          <w:szCs w:val="28"/>
        </w:rPr>
        <w:t>Part 5：Smart emergency center</w:t>
      </w: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江苏省市场监督管理局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2"/>
        <w:spacing w:after="468"/>
      </w:pPr>
      <w:bookmarkStart w:id="21" w:name="BookMark1"/>
      <w:r>
        <w:rPr>
          <w:spacing w:val="320"/>
        </w:rPr>
        <w:t>目</w:t>
      </w:r>
      <w:r>
        <w:t>次</w:t>
      </w:r>
    </w:p>
    <w:p>
      <w:pPr>
        <w:pStyle w:val="19"/>
        <w:tabs>
          <w:tab w:val="right" w:leader="dot" w:pos="9344"/>
        </w:tabs>
        <w:rPr>
          <w:rFonts w:asciiTheme="minorHAnsi" w:hAnsiTheme="minorHAnsi" w:eastAsiaTheme="minorEastAsia" w:cstheme="minorBidi"/>
          <w:sz w:val="22"/>
          <w:szCs w:val="24"/>
        </w:rPr>
      </w:pPr>
      <w:r>
        <w:fldChar w:fldCharType="begin"/>
      </w:r>
      <w:r>
        <w:instrText xml:space="preserve"> TOC \o "1-1" \h \t "标准文件_一级条标题,2,标准文件_二级条标题,3,标准文件_三级条标题,4,标准文件_四级条标题,5,标准文件_五级条标题,6,标准文件_附录一级条标题,2,标准文件_附录二级条标题,3,标准文件_附录三级条标题,4,标准文件_附录四级条标题,5,标准文件_附录五级条标题,6,"</w:instrText>
      </w:r>
      <w:r>
        <w:fldChar w:fldCharType="separate"/>
      </w:r>
      <w:r>
        <w:fldChar w:fldCharType="begin"/>
      </w:r>
      <w:r>
        <w:instrText xml:space="preserve"> HYPERLINK \l "_Toc169251150" </w:instrText>
      </w:r>
      <w:r>
        <w:fldChar w:fldCharType="separate"/>
      </w:r>
      <w:r>
        <w:rPr>
          <w:rStyle w:val="33"/>
        </w:rPr>
        <w:t>1范围</w:t>
      </w:r>
      <w:r>
        <w:tab/>
      </w:r>
      <w:r>
        <w:fldChar w:fldCharType="begin"/>
      </w:r>
      <w:r>
        <w:instrText xml:space="preserve"> PAGEREF _Toc169251150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 w:val="22"/>
          <w:szCs w:val="24"/>
        </w:rPr>
      </w:pPr>
      <w:r>
        <w:fldChar w:fldCharType="begin"/>
      </w:r>
      <w:r>
        <w:instrText xml:space="preserve"> HYPERLINK \l "_Toc169251151" </w:instrText>
      </w:r>
      <w:r>
        <w:fldChar w:fldCharType="separate"/>
      </w:r>
      <w:r>
        <w:rPr>
          <w:rStyle w:val="33"/>
        </w:rPr>
        <w:t>2规范性引用文件</w:t>
      </w:r>
      <w:r>
        <w:tab/>
      </w:r>
      <w:r>
        <w:fldChar w:fldCharType="begin"/>
      </w:r>
      <w:r>
        <w:instrText xml:space="preserve"> PAGEREF _Toc169251151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 w:val="22"/>
          <w:szCs w:val="24"/>
        </w:rPr>
      </w:pPr>
      <w:r>
        <w:fldChar w:fldCharType="begin"/>
      </w:r>
      <w:r>
        <w:instrText xml:space="preserve"> HYPERLINK \l "_Toc169251152" </w:instrText>
      </w:r>
      <w:r>
        <w:fldChar w:fldCharType="separate"/>
      </w:r>
      <w:r>
        <w:rPr>
          <w:rStyle w:val="33"/>
        </w:rPr>
        <w:t>3术语和定义</w:t>
      </w:r>
      <w:r>
        <w:tab/>
      </w:r>
      <w:r>
        <w:fldChar w:fldCharType="begin"/>
      </w:r>
      <w:r>
        <w:instrText xml:space="preserve"> PAGEREF _Toc169251152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 w:val="22"/>
          <w:szCs w:val="24"/>
        </w:rPr>
      </w:pPr>
      <w:r>
        <w:fldChar w:fldCharType="begin"/>
      </w:r>
      <w:r>
        <w:instrText xml:space="preserve"> HYPERLINK \l "_Toc169251153" </w:instrText>
      </w:r>
      <w:r>
        <w:fldChar w:fldCharType="separate"/>
      </w:r>
      <w:r>
        <w:rPr>
          <w:rStyle w:val="33"/>
        </w:rPr>
        <w:t>4建设要求</w:t>
      </w:r>
      <w:r>
        <w:tab/>
      </w:r>
      <w:r>
        <w:fldChar w:fldCharType="begin"/>
      </w:r>
      <w:r>
        <w:instrText xml:space="preserve"> PAGEREF _Toc169251153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 w:val="22"/>
          <w:szCs w:val="24"/>
        </w:rPr>
      </w:pPr>
      <w:r>
        <w:fldChar w:fldCharType="begin"/>
      </w:r>
      <w:r>
        <w:instrText xml:space="preserve"> HYPERLINK \l "_Toc169251154" </w:instrText>
      </w:r>
      <w:r>
        <w:fldChar w:fldCharType="separate"/>
      </w:r>
      <w:r>
        <w:rPr>
          <w:rStyle w:val="33"/>
        </w:rPr>
        <w:t>5运行管理</w:t>
      </w:r>
      <w:r>
        <w:tab/>
      </w:r>
      <w:r>
        <w:fldChar w:fldCharType="begin"/>
      </w:r>
      <w:r>
        <w:instrText xml:space="preserve"> PAGEREF _Toc169251154 \h </w:instrText>
      </w:r>
      <w:r>
        <w:fldChar w:fldCharType="separate"/>
      </w:r>
      <w:r>
        <w:t>6</w:t>
      </w:r>
      <w:r>
        <w:fldChar w:fldCharType="end"/>
      </w:r>
      <w:r>
        <w:fldChar w:fldCharType="end"/>
      </w:r>
    </w:p>
    <w:p>
      <w:pPr>
        <w:pStyle w:val="57"/>
        <w:spacing w:line="300" w:lineRule="exact"/>
        <w:ind w:firstLine="420"/>
      </w:pPr>
      <w:r>
        <w:fldChar w:fldCharType="end"/>
      </w:r>
      <w:bookmarkStart w:id="22" w:name="muci"/>
      <w:bookmarkEnd w:id="22"/>
    </w:p>
    <w:p>
      <w:r>
        <w:br w:type="page"/>
      </w:r>
    </w:p>
    <w:p>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p>
      <w:pPr>
        <w:pStyle w:val="25"/>
        <w:widowControl/>
        <w:numPr>
          <w:ilvl w:val="0"/>
          <w:numId w:val="32"/>
        </w:numPr>
        <w:shd w:val="clear" w:color="auto" w:fill="FFFFFF"/>
        <w:adjustRightInd/>
        <w:spacing w:before="480" w:line="240" w:lineRule="auto"/>
        <w:jc w:val="center"/>
        <w:outlineLvl w:val="0"/>
      </w:pPr>
      <w:bookmarkStart w:id="23" w:name="_Toc173744167"/>
      <w:r>
        <w:rPr>
          <w:rFonts w:hint="eastAsia" w:ascii="黑体" w:hAnsi="Times New Roman" w:eastAsia="黑体"/>
          <w:spacing w:val="320"/>
          <w:kern w:val="0"/>
          <w:sz w:val="32"/>
          <w:szCs w:val="20"/>
        </w:rPr>
        <w:t>前</w:t>
      </w:r>
      <w:r>
        <w:rPr>
          <w:rFonts w:hint="eastAsia" w:ascii="黑体" w:hAnsi="Times New Roman" w:eastAsia="黑体"/>
          <w:kern w:val="0"/>
          <w:sz w:val="32"/>
          <w:szCs w:val="20"/>
        </w:rPr>
        <w:t>言</w:t>
      </w:r>
      <w:bookmarkEnd w:id="23"/>
    </w:p>
    <w:p>
      <w:pPr>
        <w:pStyle w:val="25"/>
        <w:widowControl/>
        <w:autoSpaceDE w:val="0"/>
        <w:autoSpaceDN w:val="0"/>
        <w:adjustRightInd/>
        <w:spacing w:line="240" w:lineRule="auto"/>
        <w:ind w:firstLine="420" w:firstLineChars="200"/>
      </w:pPr>
      <w:r>
        <w:rPr>
          <w:rFonts w:hint="eastAsia" w:ascii="宋体" w:hAnsi="Times New Roman"/>
          <w:kern w:val="0"/>
          <w:sz w:val="21"/>
          <w:szCs w:val="20"/>
        </w:rPr>
        <w:t>本文件由江苏省卫生健康委员会归口。本文件是DB32/TXXX《县级（区域）医疗资源</w:t>
      </w:r>
      <w:r>
        <w:rPr>
          <w:rFonts w:hint="eastAsia" w:ascii="宋体" w:hAnsi="Times New Roman"/>
          <w:kern w:val="0"/>
          <w:sz w:val="21"/>
          <w:szCs w:val="20"/>
          <w:lang w:val="en-US" w:eastAsia="zh-CN"/>
        </w:rPr>
        <w:t>集中化</w:t>
      </w:r>
      <w:r>
        <w:rPr>
          <w:rFonts w:hint="eastAsia" w:ascii="宋体" w:hAnsi="Times New Roman"/>
          <w:kern w:val="0"/>
          <w:sz w:val="21"/>
          <w:szCs w:val="20"/>
        </w:rPr>
        <w:t>规范》第5部分。DB32/TXXX已经发布了以下部分：</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--第1部分：集中审方中心；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--第2部分：区域影像中心；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--第3部分：智慧急救中心；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--第4部分：远程会诊中心；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--第5部分：网络心电中心；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--第6部分：健康随访中心；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--第7部分：临床检验中心；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--第8部分：消毒供应中心。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请注意本文件的某些内容可能涉及专利。本文件的发布机构不承担识别专利的责任。</w:t>
      </w:r>
    </w:p>
    <w:p>
      <w:pPr>
        <w:pStyle w:val="25"/>
        <w:widowControl/>
        <w:autoSpaceDE w:val="0"/>
        <w:autoSpaceDN w:val="0"/>
        <w:adjustRightInd/>
        <w:spacing w:line="240" w:lineRule="auto"/>
        <w:ind w:firstLine="420" w:firstLineChars="200"/>
        <w:rPr>
          <w:rFonts w:hint="eastAsia" w:ascii="宋体" w:hAnsi="Times New Roman"/>
          <w:kern w:val="0"/>
          <w:sz w:val="21"/>
          <w:szCs w:val="20"/>
        </w:rPr>
      </w:pPr>
      <w:r>
        <w:rPr>
          <w:rFonts w:hint="eastAsia" w:ascii="宋体" w:hAnsi="Times New Roman"/>
          <w:kern w:val="0"/>
          <w:sz w:val="21"/>
          <w:szCs w:val="20"/>
        </w:rPr>
        <w:t>本文件由江苏省卫生健康委提出。</w:t>
      </w:r>
    </w:p>
    <w:p>
      <w:pPr>
        <w:pStyle w:val="25"/>
        <w:widowControl/>
        <w:autoSpaceDE w:val="0"/>
        <w:autoSpaceDN w:val="0"/>
        <w:adjustRightInd/>
        <w:spacing w:line="240" w:lineRule="auto"/>
        <w:ind w:firstLine="420" w:firstLineChars="200"/>
        <w:rPr>
          <w:rFonts w:hint="eastAsia" w:ascii="宋体" w:hAnsi="Times New Roman"/>
          <w:kern w:val="0"/>
          <w:sz w:val="21"/>
          <w:szCs w:val="20"/>
        </w:rPr>
      </w:pPr>
      <w:r>
        <w:rPr>
          <w:rFonts w:hint="eastAsia" w:ascii="宋体" w:hAnsi="Times New Roman"/>
          <w:kern w:val="0"/>
          <w:sz w:val="21"/>
          <w:szCs w:val="20"/>
        </w:rPr>
        <w:t>本文件由江苏省卫生标准化技术委员会归口。</w:t>
      </w:r>
    </w:p>
    <w:p>
      <w:pPr>
        <w:pStyle w:val="25"/>
        <w:widowControl/>
        <w:autoSpaceDE w:val="0"/>
        <w:autoSpaceDN w:val="0"/>
        <w:adjustRightInd/>
        <w:spacing w:line="240" w:lineRule="auto"/>
        <w:ind w:firstLine="420" w:firstLineChars="200"/>
        <w:rPr>
          <w:rFonts w:hint="eastAsia" w:ascii="宋体" w:hAnsi="Times New Roman"/>
          <w:kern w:val="0"/>
          <w:sz w:val="21"/>
          <w:szCs w:val="20"/>
        </w:rPr>
      </w:pPr>
      <w:r>
        <w:rPr>
          <w:rFonts w:hint="eastAsia" w:ascii="宋体" w:hAnsi="Times New Roman"/>
          <w:kern w:val="0"/>
          <w:sz w:val="21"/>
          <w:szCs w:val="20"/>
        </w:rPr>
        <w:t>本文件起草单位：东台市人民医院、盐城市第一人民医院、盐城市第三人民医院</w:t>
      </w:r>
    </w:p>
    <w:p>
      <w:pPr>
        <w:pStyle w:val="25"/>
        <w:widowControl/>
        <w:autoSpaceDE w:val="0"/>
        <w:autoSpaceDN w:val="0"/>
        <w:adjustRightInd/>
        <w:spacing w:line="240" w:lineRule="auto"/>
        <w:ind w:firstLine="420" w:firstLineChars="200"/>
        <w:rPr>
          <w:rFonts w:hint="eastAsia" w:ascii="宋体" w:hAnsi="Times New Roman"/>
          <w:kern w:val="0"/>
          <w:sz w:val="21"/>
          <w:szCs w:val="20"/>
        </w:rPr>
      </w:pPr>
      <w:r>
        <w:rPr>
          <w:rFonts w:hint="eastAsia" w:ascii="宋体" w:hAnsi="Times New Roman"/>
          <w:kern w:val="0"/>
          <w:sz w:val="21"/>
          <w:szCs w:val="20"/>
        </w:rPr>
        <w:t>本文件主要起草人：陆志远、陈宝春、纪强、许俊华、林凤芹、许香香、何志华</w:t>
      </w:r>
    </w:p>
    <w:p>
      <w:pPr>
        <w:pStyle w:val="57"/>
        <w:ind w:firstLine="420"/>
      </w:pPr>
    </w:p>
    <w:p>
      <w:pPr>
        <w:pStyle w:val="57"/>
        <w:ind w:firstLine="420"/>
      </w:pPr>
    </w:p>
    <w:p>
      <w:pPr>
        <w:pStyle w:val="57"/>
        <w:ind w:firstLine="420"/>
      </w:pPr>
    </w:p>
    <w:p>
      <w:r>
        <w:br w:type="page"/>
      </w:r>
    </w:p>
    <w:p>
      <w:pPr>
        <w:pStyle w:val="57"/>
        <w:ind w:firstLine="420"/>
        <w:sectPr>
          <w:pgSz w:w="11906" w:h="16838"/>
          <w:pgMar w:top="1928" w:right="1134" w:bottom="1134" w:left="1134" w:header="1418" w:footer="1134" w:gutter="284"/>
          <w:pgNumType w:fmt="upperRoman" w:start="1"/>
          <w:cols w:space="425" w:num="1"/>
          <w:formProt w:val="0"/>
          <w:docGrid w:type="lines" w:linePitch="312" w:charSpace="0"/>
        </w:sectPr>
      </w:pPr>
    </w:p>
    <w:p>
      <w:pPr>
        <w:pStyle w:val="25"/>
        <w:widowControl/>
        <w:numPr>
          <w:ilvl w:val="0"/>
          <w:numId w:val="33"/>
        </w:numPr>
        <w:shd w:val="clear" w:color="auto" w:fill="FFFFFF"/>
        <w:adjustRightInd/>
        <w:spacing w:before="480" w:line="240" w:lineRule="auto"/>
        <w:jc w:val="center"/>
        <w:outlineLvl w:val="0"/>
      </w:pPr>
      <w:bookmarkStart w:id="24" w:name="_Toc168996201"/>
      <w:bookmarkStart w:id="25" w:name="_Toc173744052"/>
      <w:bookmarkStart w:id="26" w:name="_Toc168996665"/>
      <w:bookmarkStart w:id="27" w:name="_Toc168997197"/>
      <w:bookmarkStart w:id="28" w:name="_Toc173744111"/>
      <w:bookmarkStart w:id="29" w:name="_Toc173744168"/>
      <w:bookmarkStart w:id="30" w:name="BookMark3"/>
      <w:r>
        <w:rPr>
          <w:rFonts w:hint="eastAsia" w:ascii="黑体" w:hAnsi="Times New Roman" w:eastAsia="黑体"/>
          <w:spacing w:val="320"/>
          <w:kern w:val="0"/>
          <w:sz w:val="32"/>
          <w:szCs w:val="20"/>
        </w:rPr>
        <w:t>引</w:t>
      </w:r>
      <w:r>
        <w:rPr>
          <w:rFonts w:hint="eastAsia" w:ascii="黑体" w:hAnsi="Times New Roman" w:eastAsia="黑体"/>
          <w:kern w:val="0"/>
          <w:sz w:val="32"/>
          <w:szCs w:val="20"/>
        </w:rPr>
        <w:t>言</w:t>
      </w:r>
      <w:bookmarkEnd w:id="24"/>
      <w:bookmarkEnd w:id="25"/>
      <w:bookmarkEnd w:id="26"/>
      <w:bookmarkEnd w:id="27"/>
      <w:bookmarkEnd w:id="28"/>
      <w:bookmarkEnd w:id="29"/>
    </w:p>
    <w:p>
      <w:pPr>
        <w:pStyle w:val="25"/>
        <w:widowControl/>
        <w:autoSpaceDE w:val="0"/>
        <w:autoSpaceDN w:val="0"/>
        <w:adjustRightInd/>
        <w:spacing w:line="240" w:lineRule="auto"/>
        <w:ind w:firstLine="420" w:firstLineChars="200"/>
      </w:pPr>
      <w:r>
        <w:rPr>
          <w:rFonts w:hint="eastAsia" w:ascii="宋体" w:hAnsi="Times New Roman"/>
          <w:kern w:val="0"/>
          <w:sz w:val="21"/>
          <w:szCs w:val="20"/>
        </w:rPr>
        <w:t>县域紧密型医共体作为推进分级诊疗体系的重要抓手，普遍面临着多层级医疗资源配置不平衡、医疗服务能力不强、就医信息化程度滞后等问题。如何把县域内各医疗机构变为一个价值同向的共同体为目标。本文件为提升江苏省县级（区域）医疗资源</w:t>
      </w:r>
      <w:r>
        <w:rPr>
          <w:rFonts w:hint="eastAsia" w:ascii="宋体" w:hAnsi="Times New Roman"/>
          <w:kern w:val="0"/>
          <w:sz w:val="21"/>
          <w:szCs w:val="20"/>
          <w:lang w:val="en-US" w:eastAsia="zh-CN"/>
        </w:rPr>
        <w:t>集中化运行</w:t>
      </w:r>
      <w:r>
        <w:rPr>
          <w:rFonts w:hint="eastAsia" w:ascii="宋体" w:hAnsi="Times New Roman"/>
          <w:kern w:val="0"/>
          <w:sz w:val="21"/>
          <w:szCs w:val="20"/>
        </w:rPr>
        <w:t>规范，推动县域内各医疗机构成为一个价值同向的共同体的目标而制定。</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DB32/TXXX《县级（区域）医疗资源</w:t>
      </w:r>
      <w:r>
        <w:rPr>
          <w:rFonts w:hint="eastAsia" w:ascii="宋体" w:hAnsi="Times New Roman"/>
          <w:kern w:val="0"/>
          <w:sz w:val="21"/>
          <w:szCs w:val="20"/>
          <w:lang w:val="en-US" w:eastAsia="zh-CN"/>
        </w:rPr>
        <w:t>集中化运行</w:t>
      </w:r>
      <w:r>
        <w:rPr>
          <w:rFonts w:hint="eastAsia" w:ascii="宋体" w:hAnsi="Times New Roman"/>
          <w:kern w:val="0"/>
          <w:sz w:val="21"/>
          <w:szCs w:val="20"/>
        </w:rPr>
        <w:t>规范》分为以下</w:t>
      </w:r>
      <w:r>
        <w:rPr>
          <w:rFonts w:hint="eastAsia" w:ascii="宋体" w:hAnsi="Times New Roman"/>
          <w:kern w:val="0"/>
          <w:sz w:val="21"/>
          <w:szCs w:val="20"/>
          <w:lang w:val="en-US" w:eastAsia="zh-CN"/>
        </w:rPr>
        <w:t>8</w:t>
      </w:r>
      <w:r>
        <w:rPr>
          <w:rFonts w:hint="eastAsia" w:ascii="宋体" w:hAnsi="Times New Roman"/>
          <w:kern w:val="0"/>
          <w:sz w:val="21"/>
          <w:szCs w:val="20"/>
        </w:rPr>
        <w:t>个部分：</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--第1部分：集中审方中心；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--第2部分：区域影像中心；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--第3部分：智慧急救中心；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--第4部分：远程会诊中心；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--第5部分：网络心电中心；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--第6部分：健康随访中心；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--第7部分：临床检验中心；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--第8部分：消毒供应中心。</w:t>
      </w:r>
    </w:p>
    <w:p>
      <w:pPr>
        <w:pStyle w:val="25"/>
        <w:widowControl/>
        <w:autoSpaceDE w:val="0"/>
        <w:autoSpaceDN w:val="0"/>
        <w:adjustRightInd/>
        <w:spacing w:line="240" w:lineRule="auto"/>
        <w:ind w:firstLine="420" w:firstLineChars="200"/>
      </w:pPr>
      <w:r>
        <w:rPr>
          <w:rFonts w:hint="eastAsia" w:ascii="宋体" w:hAnsi="Times New Roman"/>
          <w:kern w:val="0"/>
          <w:sz w:val="21"/>
          <w:szCs w:val="20"/>
        </w:rPr>
        <w:t>DB32/TXXX的制定是通过建设县级（区域）医疗资源</w:t>
      </w:r>
      <w:r>
        <w:rPr>
          <w:rFonts w:hint="eastAsia" w:ascii="宋体" w:hAnsi="Times New Roman"/>
          <w:kern w:val="0"/>
          <w:sz w:val="21"/>
          <w:szCs w:val="20"/>
          <w:lang w:val="en-US" w:eastAsia="zh-CN"/>
        </w:rPr>
        <w:t>集中化运行规范</w:t>
      </w:r>
      <w:r>
        <w:rPr>
          <w:rFonts w:hint="eastAsia" w:ascii="宋体" w:hAnsi="Times New Roman"/>
          <w:kern w:val="0"/>
          <w:sz w:val="21"/>
          <w:szCs w:val="20"/>
        </w:rPr>
        <w:t>，依托于“互联网+”和智能化技术的信息系统，能够打破信息壁垒，提升县级（区域）医疗服务的协同性和一体化水平，以更好优化资源配置、改善患者就医体验。</w:t>
      </w:r>
      <w:bookmarkEnd w:id="30"/>
    </w:p>
    <w:p>
      <w:pPr>
        <w:pStyle w:val="57"/>
        <w:ind w:firstLine="420"/>
        <w:sectPr>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31" w:name="BookMark4"/>
    </w:p>
    <w:p>
      <w:pPr>
        <w:spacing w:line="20" w:lineRule="exact"/>
        <w:jc w:val="center"/>
        <w:rPr>
          <w:rFonts w:ascii="黑体" w:hAnsi="黑体" w:eastAsia="黑体"/>
          <w:sz w:val="32"/>
          <w:szCs w:val="32"/>
        </w:rPr>
      </w:pPr>
    </w:p>
    <w:sdt>
      <w:sdtPr>
        <w:tag w:val="NEW_STAND_NAME"/>
        <w:id w:val="595910757"/>
        <w:lock w:val="sdtLocked"/>
        <w:placeholder>
          <w:docPart w:val="B2D79BB0B4794A0FB8EE78E56AC0C935"/>
        </w:placeholder>
      </w:sdtPr>
      <w:sdtContent>
        <w:p>
          <w:pPr>
            <w:pStyle w:val="178"/>
            <w:spacing w:before="0" w:after="0" w:line="240" w:lineRule="auto"/>
          </w:pPr>
          <w:bookmarkStart w:id="32" w:name="NEW_STAND_NAME"/>
          <w:r>
            <w:rPr>
              <w:rFonts w:hint="eastAsia"/>
            </w:rPr>
            <w:t>县级（区域）医疗资源</w:t>
          </w:r>
          <w:r>
            <w:rPr>
              <w:rFonts w:hint="eastAsia"/>
              <w:lang w:val="en-US" w:eastAsia="zh-CN"/>
            </w:rPr>
            <w:t>集中化运行</w:t>
          </w:r>
          <w:r>
            <w:rPr>
              <w:rFonts w:hint="eastAsia"/>
            </w:rPr>
            <w:t>规范</w:t>
          </w:r>
        </w:p>
        <w:p>
          <w:pPr>
            <w:pStyle w:val="178"/>
            <w:spacing w:beforeLines="1" w:afterLines="220"/>
          </w:pPr>
          <w:r>
            <w:rPr>
              <w:rFonts w:hint="eastAsia"/>
            </w:rPr>
            <w:t>第3部分：智慧急救中心</w:t>
          </w:r>
        </w:p>
      </w:sdtContent>
    </w:sdt>
    <w:bookmarkEnd w:id="32"/>
    <w:p>
      <w:pPr>
        <w:pStyle w:val="105"/>
        <w:spacing w:before="312" w:after="312"/>
      </w:pPr>
      <w:bookmarkStart w:id="33" w:name="_Toc26986530"/>
      <w:bookmarkStart w:id="34" w:name="_Toc24884211"/>
      <w:bookmarkStart w:id="35" w:name="_Toc26648465"/>
      <w:bookmarkStart w:id="36" w:name="_Toc169251150"/>
      <w:bookmarkStart w:id="37" w:name="_Toc97191423"/>
      <w:bookmarkStart w:id="38" w:name="_Toc26718930"/>
      <w:bookmarkStart w:id="39" w:name="_Toc17233333"/>
      <w:bookmarkStart w:id="40" w:name="_Toc24884218"/>
      <w:bookmarkStart w:id="41" w:name="_Toc26986771"/>
      <w:bookmarkStart w:id="42" w:name="_Toc169251088"/>
      <w:bookmarkStart w:id="43" w:name="_Toc17233325"/>
      <w:r>
        <w:rPr>
          <w:rFonts w:hint="eastAsia"/>
        </w:rPr>
        <w:t>范围</w:t>
      </w:r>
      <w:bookmarkEnd w:id="33"/>
      <w:bookmarkEnd w:id="34"/>
      <w:bookmarkEnd w:id="35"/>
      <w:bookmarkEnd w:id="36"/>
      <w:bookmarkEnd w:id="37"/>
      <w:bookmarkEnd w:id="38"/>
      <w:bookmarkEnd w:id="39"/>
      <w:bookmarkEnd w:id="40"/>
      <w:bookmarkEnd w:id="41"/>
      <w:bookmarkEnd w:id="42"/>
      <w:bookmarkEnd w:id="43"/>
    </w:p>
    <w:p>
      <w:pPr>
        <w:pStyle w:val="57"/>
        <w:ind w:firstLine="420"/>
        <w:jc w:val="left"/>
      </w:pPr>
      <w:bookmarkStart w:id="44" w:name="_Toc17233326"/>
      <w:bookmarkStart w:id="45" w:name="_Toc24884212"/>
      <w:bookmarkStart w:id="46" w:name="_Toc17233334"/>
      <w:bookmarkStart w:id="47" w:name="_Toc26648466"/>
      <w:bookmarkStart w:id="48" w:name="_Toc24884219"/>
      <w:r>
        <w:rPr>
          <w:rFonts w:hint="eastAsia"/>
        </w:rPr>
        <w:t>本文件规定了县级（区域）医疗资源整合中心第5部分：智慧急救中心的建设要求、运行和管理。</w:t>
      </w:r>
    </w:p>
    <w:p>
      <w:pPr>
        <w:pStyle w:val="57"/>
        <w:ind w:firstLine="420"/>
      </w:pPr>
      <w:r>
        <w:rPr>
          <w:rFonts w:hint="eastAsia"/>
        </w:rPr>
        <w:t>适用于县级（区域）急救医疗站及其分站。</w:t>
      </w:r>
    </w:p>
    <w:p>
      <w:pPr>
        <w:pStyle w:val="57"/>
        <w:ind w:firstLine="420"/>
      </w:pPr>
    </w:p>
    <w:p>
      <w:pPr>
        <w:pStyle w:val="105"/>
        <w:spacing w:before="312" w:after="312"/>
      </w:pPr>
      <w:bookmarkStart w:id="49" w:name="_Toc26718931"/>
      <w:bookmarkStart w:id="50" w:name="_Toc26986772"/>
      <w:bookmarkStart w:id="51" w:name="_Toc26986531"/>
      <w:bookmarkStart w:id="52" w:name="_Toc97191424"/>
      <w:bookmarkStart w:id="53" w:name="_Toc169251089"/>
      <w:bookmarkStart w:id="54" w:name="_Toc169251151"/>
      <w:r>
        <w:rPr>
          <w:rFonts w:hint="eastAsia"/>
        </w:rPr>
        <w:t>规范性引用文件</w:t>
      </w:r>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D4109D3D390748E388BBB625C1FBC8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numPr>
          <w:ilvl w:val="0"/>
          <w:numId w:val="34"/>
        </w:numPr>
        <w:ind w:firstLineChars="0"/>
      </w:pPr>
      <w:r>
        <w:rPr>
          <w:rFonts w:hint="eastAsia"/>
        </w:rPr>
        <w:t>《院前医疗急救管理办法》（国家卫生和计划生育委员会令第</w:t>
      </w:r>
      <w:r>
        <w:t>3</w:t>
      </w:r>
      <w:r>
        <w:rPr>
          <w:rFonts w:hint="eastAsia"/>
        </w:rPr>
        <w:t>号）</w:t>
      </w:r>
    </w:p>
    <w:p>
      <w:pPr>
        <w:pStyle w:val="57"/>
        <w:numPr>
          <w:ilvl w:val="0"/>
          <w:numId w:val="34"/>
        </w:numPr>
        <w:ind w:firstLineChars="0"/>
      </w:pPr>
      <w:r>
        <w:rPr>
          <w:rFonts w:hint="eastAsia"/>
        </w:rPr>
        <w:t>《国家突发公共卫生事件应急指挥中心与决策系统建设需求书》（卫生部）</w:t>
      </w:r>
    </w:p>
    <w:p>
      <w:pPr>
        <w:pStyle w:val="57"/>
        <w:numPr>
          <w:ilvl w:val="0"/>
          <w:numId w:val="34"/>
        </w:numPr>
        <w:ind w:firstLineChars="0"/>
      </w:pPr>
      <w:r>
        <w:rPr>
          <w:rFonts w:hint="eastAsia"/>
        </w:rPr>
        <w:t>《江苏省院前医疗急救条例》</w:t>
      </w:r>
    </w:p>
    <w:p>
      <w:pPr>
        <w:pStyle w:val="57"/>
        <w:numPr>
          <w:ilvl w:val="0"/>
          <w:numId w:val="34"/>
        </w:numPr>
        <w:ind w:firstLineChars="0"/>
      </w:pPr>
      <w:r>
        <w:rPr>
          <w:rFonts w:hint="eastAsia"/>
        </w:rPr>
        <w:t>《突发公共卫生事件应急指挥条例》</w:t>
      </w:r>
    </w:p>
    <w:p>
      <w:pPr>
        <w:pStyle w:val="57"/>
        <w:numPr>
          <w:ilvl w:val="0"/>
          <w:numId w:val="34"/>
        </w:numPr>
        <w:ind w:firstLineChars="0"/>
      </w:pPr>
      <w:r>
        <w:rPr>
          <w:rFonts w:hint="eastAsia"/>
        </w:rPr>
        <w:t>《医疗事故处理条例》（举证倒置）</w:t>
      </w:r>
    </w:p>
    <w:p>
      <w:pPr>
        <w:pStyle w:val="57"/>
        <w:numPr>
          <w:ilvl w:val="0"/>
          <w:numId w:val="34"/>
        </w:numPr>
        <w:ind w:firstLineChars="0"/>
      </w:pPr>
      <w:r>
        <w:rPr>
          <w:rFonts w:hint="eastAsia"/>
        </w:rPr>
        <w:t>《院前医疗急救管理办法》</w:t>
      </w:r>
    </w:p>
    <w:p>
      <w:pPr>
        <w:pStyle w:val="105"/>
        <w:spacing w:before="312" w:after="312"/>
      </w:pPr>
      <w:bookmarkStart w:id="55" w:name="_Toc169251152"/>
      <w:bookmarkStart w:id="56" w:name="_Toc169251090"/>
      <w:bookmarkStart w:id="57" w:name="_Toc97191425"/>
      <w:r>
        <w:rPr>
          <w:rFonts w:hint="eastAsia"/>
          <w:szCs w:val="21"/>
        </w:rPr>
        <w:t>术语和定义</w:t>
      </w:r>
      <w:bookmarkEnd w:id="55"/>
      <w:bookmarkEnd w:id="56"/>
      <w:bookmarkEnd w:id="57"/>
    </w:p>
    <w:sdt>
      <w:sdtPr>
        <w:id w:val="-1909835108"/>
        <w:placeholder>
          <w:docPart w:val="049EB52176A048A3A9814A4D5459CA0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58" w:name="_Toc26986532"/>
          <w:bookmarkEnd w:id="58"/>
          <w:r>
            <w:t>下列术语和定义适用于本文件。</w:t>
          </w:r>
        </w:p>
      </w:sdtContent>
    </w:sdt>
    <w:p>
      <w:pPr>
        <w:pStyle w:val="231"/>
        <w:spacing w:before="160" w:after="160" w:line="240" w:lineRule="auto"/>
        <w:ind w:firstLine="0"/>
        <w:rPr>
          <w:rFonts w:asciiTheme="majorEastAsia" w:hAnsiTheme="majorEastAsia" w:eastAsiaTheme="majorEastAsia"/>
          <w:sz w:val="21"/>
          <w:szCs w:val="21"/>
        </w:rPr>
      </w:pPr>
      <w:r>
        <w:rPr>
          <w:rFonts w:hint="eastAsia" w:asciiTheme="majorEastAsia" w:hAnsiTheme="majorEastAsia" w:eastAsiaTheme="majorEastAsia"/>
          <w:sz w:val="21"/>
          <w:szCs w:val="21"/>
        </w:rPr>
        <w:t>3.1.智慧急救（Smartfirstaid）</w:t>
      </w:r>
    </w:p>
    <w:p>
      <w:pPr>
        <w:pStyle w:val="57"/>
        <w:ind w:firstLine="420"/>
      </w:pPr>
      <w:r>
        <w:rPr>
          <w:rFonts w:hint="eastAsia"/>
        </w:rPr>
        <w:t>智慧急救，是指在传统急救的基础上,利用物联网、移动互联网、人工智能等先进技术,实现急教资源的高效调度和智能化管理。</w:t>
      </w:r>
    </w:p>
    <w:p>
      <w:pPr>
        <w:pStyle w:val="231"/>
        <w:spacing w:before="160" w:after="160" w:line="240" w:lineRule="auto"/>
        <w:ind w:firstLine="0"/>
        <w:rPr>
          <w:rFonts w:asciiTheme="majorEastAsia" w:hAnsiTheme="majorEastAsia" w:eastAsiaTheme="majorEastAsia"/>
          <w:sz w:val="21"/>
          <w:szCs w:val="21"/>
        </w:rPr>
      </w:pPr>
      <w:r>
        <w:rPr>
          <w:rFonts w:hint="eastAsia" w:asciiTheme="majorEastAsia" w:hAnsiTheme="majorEastAsia" w:eastAsiaTheme="majorEastAsia"/>
          <w:sz w:val="21"/>
          <w:szCs w:val="21"/>
        </w:rPr>
        <w:t>3.2.高级生命支持(AdwancedLifeSupport)</w:t>
      </w:r>
    </w:p>
    <w:p>
      <w:pPr>
        <w:pStyle w:val="57"/>
        <w:ind w:firstLine="420"/>
      </w:pPr>
      <w:r>
        <w:rPr>
          <w:rFonts w:hint="eastAsia"/>
        </w:rPr>
        <w:t>高级生命支持，简称ALS是指针对危重患者在医疗现场或途中实施的一系列高级医疗措施和技术，以维持生命和稳定患者的生理功能。</w:t>
      </w:r>
    </w:p>
    <w:p>
      <w:pPr>
        <w:pStyle w:val="231"/>
        <w:spacing w:before="160" w:after="160" w:line="240" w:lineRule="auto"/>
        <w:ind w:firstLine="0"/>
        <w:rPr>
          <w:rFonts w:asciiTheme="majorEastAsia" w:hAnsiTheme="majorEastAsia" w:eastAsiaTheme="majorEastAsia"/>
          <w:sz w:val="21"/>
          <w:szCs w:val="21"/>
        </w:rPr>
      </w:pPr>
      <w:r>
        <w:rPr>
          <w:rFonts w:hint="eastAsia" w:asciiTheme="majorEastAsia" w:hAnsiTheme="majorEastAsia" w:eastAsiaTheme="majorEastAsia"/>
          <w:sz w:val="21"/>
          <w:szCs w:val="21"/>
        </w:rPr>
        <w:t>3.3.上车即入院（Admissionuponboardingthevehicle）</w:t>
      </w:r>
    </w:p>
    <w:p>
      <w:pPr>
        <w:pStyle w:val="57"/>
        <w:ind w:firstLine="420"/>
      </w:pPr>
      <w:r>
        <w:rPr>
          <w:rFonts w:hint="eastAsia"/>
        </w:rPr>
        <w:t>上车即入院，是指在救护车上可将患者信息传送到院内,在救护车上对患者进行预检分诊，登记挂号，进而实现病情提前预警、院内人员提前准备并获得院内专家团队支持，开绿色通道。</w:t>
      </w:r>
    </w:p>
    <w:bookmarkEnd w:id="31"/>
    <w:p>
      <w:pPr>
        <w:pStyle w:val="105"/>
        <w:spacing w:before="312" w:after="312"/>
      </w:pPr>
      <w:bookmarkStart w:id="59" w:name="_Toc169251091"/>
      <w:bookmarkStart w:id="60" w:name="_Toc169251153"/>
      <w:r>
        <w:rPr>
          <w:rFonts w:hint="eastAsia"/>
          <w:szCs w:val="21"/>
        </w:rPr>
        <w:t>建设要求</w:t>
      </w:r>
      <w:bookmarkEnd w:id="59"/>
      <w:bookmarkEnd w:id="60"/>
    </w:p>
    <w:p>
      <w:pPr>
        <w:pStyle w:val="231"/>
        <w:spacing w:before="160" w:after="160" w:line="240" w:lineRule="auto"/>
        <w:ind w:firstLine="0"/>
        <w:rPr>
          <w:rFonts w:asciiTheme="majorEastAsia" w:hAnsiTheme="majorEastAsia" w:eastAsiaTheme="majorEastAsia"/>
          <w:sz w:val="21"/>
          <w:szCs w:val="21"/>
        </w:rPr>
      </w:pPr>
      <w:r>
        <w:rPr>
          <w:rFonts w:hint="eastAsia" w:asciiTheme="majorEastAsia" w:hAnsiTheme="majorEastAsia" w:eastAsiaTheme="majorEastAsia"/>
          <w:sz w:val="21"/>
          <w:szCs w:val="21"/>
        </w:rPr>
        <w:t>4.1急救中心配置</w:t>
      </w:r>
    </w:p>
    <w:p>
      <w:pPr>
        <w:pStyle w:val="57"/>
        <w:ind w:firstLine="420"/>
      </w:pPr>
      <w:r>
        <w:rPr>
          <w:rFonts w:hint="eastAsia"/>
        </w:rPr>
        <w:t>(1)急救中心应至少包括急救科、通讯调度科、质量管理科和车管科。</w:t>
      </w:r>
    </w:p>
    <w:p>
      <w:pPr>
        <w:pStyle w:val="57"/>
        <w:ind w:firstLine="420"/>
      </w:pPr>
      <w:r>
        <w:rPr>
          <w:rFonts w:hint="eastAsia"/>
        </w:rPr>
        <w:t>(2)根据人口密度，每5万人口应配备至少一辆急救车，且至少要有5辆能正常运转的急救车。</w:t>
      </w:r>
    </w:p>
    <w:p>
      <w:pPr>
        <w:pStyle w:val="57"/>
        <w:ind w:firstLine="420"/>
      </w:pPr>
      <w:r>
        <w:rPr>
          <w:rFonts w:hint="eastAsia"/>
        </w:rPr>
        <w:t>(3)急救车应配备警灯、警报器，并在车身两侧后门标记医疗急救标志。</w:t>
      </w:r>
    </w:p>
    <w:p>
      <w:pPr>
        <w:pStyle w:val="57"/>
        <w:ind w:firstLine="420"/>
      </w:pPr>
      <w:r>
        <w:rPr>
          <w:rFonts w:hint="eastAsia"/>
        </w:rPr>
        <w:t>(4)急救车单元应配备一系列急救设备和药品。</w:t>
      </w:r>
    </w:p>
    <w:p>
      <w:pPr>
        <w:pStyle w:val="57"/>
        <w:ind w:firstLine="420"/>
      </w:pPr>
      <w:r>
        <w:rPr>
          <w:rFonts w:hint="eastAsia"/>
        </w:rPr>
        <w:t>(5)每辆急救车至少有1名医生、1名护士、1名驾驶员、1名担架员。</w:t>
      </w:r>
    </w:p>
    <w:p>
      <w:pPr>
        <w:pStyle w:val="57"/>
        <w:ind w:firstLine="420"/>
      </w:pPr>
      <w:r>
        <w:rPr>
          <w:rFonts w:hint="eastAsia"/>
        </w:rPr>
        <w:t>(6)建立急救专线电话，确保通信畅通。</w:t>
      </w:r>
    </w:p>
    <w:p>
      <w:pPr>
        <w:pStyle w:val="57"/>
        <w:ind w:firstLine="420"/>
      </w:pPr>
      <w:r>
        <w:rPr>
          <w:rFonts w:hint="eastAsia"/>
        </w:rPr>
        <w:t>(7)急救中心用地面积6000平方米以上，建筑面积4000平方米以上。</w:t>
      </w:r>
    </w:p>
    <w:p>
      <w:pPr>
        <w:pStyle w:val="231"/>
        <w:spacing w:before="160" w:after="160" w:line="240" w:lineRule="auto"/>
        <w:ind w:firstLine="0"/>
        <w:rPr>
          <w:rFonts w:asciiTheme="majorEastAsia" w:hAnsiTheme="majorEastAsia" w:eastAsiaTheme="majorEastAsia"/>
          <w:sz w:val="21"/>
          <w:szCs w:val="21"/>
        </w:rPr>
      </w:pPr>
      <w:r>
        <w:rPr>
          <w:rFonts w:hint="eastAsia" w:asciiTheme="majorEastAsia" w:hAnsiTheme="majorEastAsia" w:eastAsiaTheme="majorEastAsia"/>
          <w:sz w:val="21"/>
          <w:szCs w:val="21"/>
        </w:rPr>
        <w:t>4.2网络建设</w:t>
      </w:r>
    </w:p>
    <w:p>
      <w:pPr>
        <w:ind w:firstLine="480"/>
      </w:pPr>
      <w:r>
        <w:rPr>
          <w:rFonts w:hint="eastAsia"/>
        </w:rPr>
        <w:t>作为收集、处理、传递全市120受理情报信息的枢纽，对计算机网络综合信息系统的信息处理、共享、安全等性能提出了很高的要求。其实现技术和构成方法不仅能充分满足当前应用系统的需要，而且至少应能满足网络今后至少五年发展需要。</w:t>
      </w:r>
    </w:p>
    <w:p>
      <w:pPr>
        <w:pStyle w:val="235"/>
        <w:spacing w:line="360" w:lineRule="auto"/>
        <w:rPr>
          <w:sz w:val="20"/>
          <w:szCs w:val="20"/>
        </w:rPr>
      </w:pPr>
      <w:r>
        <w:rPr>
          <w:rFonts w:hint="eastAsia"/>
          <w:sz w:val="20"/>
          <w:szCs w:val="20"/>
        </w:rPr>
        <w:t>4.2.1.组网方案</w:t>
      </w:r>
    </w:p>
    <w:p>
      <w:pPr>
        <w:pStyle w:val="57"/>
        <w:ind w:firstLine="420"/>
      </w:pPr>
      <w:r>
        <w:rPr>
          <w:rFonts w:hint="eastAsia"/>
        </w:rPr>
        <w:t>计算机网络建设中心和各急救分站、相关医院急诊科的网络建设可通过政务网的拓展实现。</w:t>
      </w:r>
    </w:p>
    <w:p>
      <w:pPr>
        <w:pStyle w:val="57"/>
        <w:ind w:firstLine="420"/>
      </w:pPr>
      <w:r>
        <w:rPr>
          <w:rFonts w:hint="eastAsia"/>
        </w:rPr>
        <w:t>急救中心采用专线方式接入运营商，各急救分站采用政务网或租用专线接入急救中心局域网。救护车车载终端通过运营商无线网络，接入急救中心。</w:t>
      </w:r>
    </w:p>
    <w:p>
      <w:pPr>
        <w:pStyle w:val="235"/>
        <w:spacing w:line="360" w:lineRule="auto"/>
        <w:rPr>
          <w:sz w:val="20"/>
          <w:szCs w:val="20"/>
        </w:rPr>
      </w:pPr>
      <w:r>
        <w:rPr>
          <w:rFonts w:hint="eastAsia"/>
          <w:sz w:val="20"/>
          <w:szCs w:val="20"/>
        </w:rPr>
        <w:t>4.2.2.急救中心局域网络</w:t>
      </w:r>
    </w:p>
    <w:p>
      <w:pPr>
        <w:pStyle w:val="57"/>
        <w:ind w:firstLine="420"/>
      </w:pPr>
      <w:r>
        <w:rPr>
          <w:rFonts w:hint="eastAsia"/>
        </w:rPr>
        <w:t>急救中心网络主要由以下几部分组成：数据库服务器、应用服务器、GPS通讯服务器、120受理调度台、数字录音服务器、交换机、VPN网关、防火墙等。</w:t>
      </w:r>
    </w:p>
    <w:p>
      <w:pPr>
        <w:pStyle w:val="235"/>
        <w:spacing w:line="360" w:lineRule="auto"/>
        <w:rPr>
          <w:sz w:val="20"/>
          <w:szCs w:val="20"/>
        </w:rPr>
      </w:pPr>
      <w:r>
        <w:rPr>
          <w:rFonts w:hint="eastAsia"/>
          <w:sz w:val="20"/>
          <w:szCs w:val="20"/>
        </w:rPr>
        <w:t>4.2.3.救护车车载无线通讯网</w:t>
      </w:r>
    </w:p>
    <w:p>
      <w:pPr>
        <w:pStyle w:val="57"/>
        <w:ind w:firstLine="420"/>
      </w:pPr>
      <w:r>
        <w:rPr>
          <w:rFonts w:hint="eastAsia"/>
        </w:rPr>
        <w:t>救护车车载终端通过移动通讯网与急救中心组网，实现急救车辆与急救指挥中心实时信息交互。</w:t>
      </w:r>
    </w:p>
    <w:p>
      <w:pPr>
        <w:pStyle w:val="57"/>
        <w:ind w:firstLine="420"/>
      </w:pPr>
      <w:r>
        <w:rPr>
          <w:rFonts w:hint="eastAsia"/>
        </w:rPr>
        <w:t>急救中心租用运营商专线，实现与救护车终端、移动计算机终端或部分分站的无线组网。</w:t>
      </w:r>
    </w:p>
    <w:p>
      <w:pPr>
        <w:pStyle w:val="235"/>
        <w:spacing w:line="360" w:lineRule="auto"/>
        <w:rPr>
          <w:sz w:val="20"/>
          <w:szCs w:val="20"/>
        </w:rPr>
      </w:pPr>
      <w:r>
        <w:rPr>
          <w:rFonts w:hint="eastAsia"/>
          <w:sz w:val="20"/>
          <w:szCs w:val="20"/>
        </w:rPr>
        <w:t>4.2.4.急救分站/医院VPN广域网</w:t>
      </w:r>
    </w:p>
    <w:p>
      <w:pPr>
        <w:pStyle w:val="57"/>
        <w:ind w:firstLine="420"/>
      </w:pPr>
      <w:r>
        <w:rPr>
          <w:rFonts w:hint="eastAsia"/>
        </w:rPr>
        <w:t>需要联入急救中心的相关单位包括：网络医院、急救分站以及卫生局的计算机局域网或终端等，组成急救系统计算机广域网络，通过租用运营商专线，并配置相关的VPN设备，组建VPN网络实现。</w:t>
      </w:r>
    </w:p>
    <w:p>
      <w:pPr>
        <w:pStyle w:val="231"/>
        <w:spacing w:before="160" w:after="160" w:line="240" w:lineRule="auto"/>
        <w:ind w:firstLine="0"/>
        <w:rPr>
          <w:rFonts w:asciiTheme="majorEastAsia" w:hAnsiTheme="majorEastAsia" w:eastAsiaTheme="majorEastAsia"/>
          <w:sz w:val="21"/>
          <w:szCs w:val="21"/>
        </w:rPr>
      </w:pPr>
      <w:r>
        <w:rPr>
          <w:rFonts w:hint="eastAsia" w:asciiTheme="majorEastAsia" w:hAnsiTheme="majorEastAsia" w:eastAsiaTheme="majorEastAsia"/>
          <w:sz w:val="21"/>
          <w:szCs w:val="21"/>
        </w:rPr>
        <w:t>4.3.硬件建设</w:t>
      </w:r>
    </w:p>
    <w:p>
      <w:pPr>
        <w:pStyle w:val="235"/>
        <w:spacing w:line="360" w:lineRule="auto"/>
        <w:rPr>
          <w:sz w:val="20"/>
          <w:szCs w:val="20"/>
        </w:rPr>
      </w:pPr>
      <w:r>
        <w:rPr>
          <w:rFonts w:hint="eastAsia"/>
          <w:sz w:val="20"/>
          <w:szCs w:val="20"/>
        </w:rPr>
        <w:t>4.3.1.模块化机房</w:t>
      </w:r>
    </w:p>
    <w:p>
      <w:pPr>
        <w:pStyle w:val="57"/>
        <w:ind w:firstLine="420"/>
      </w:pPr>
      <w:r>
        <w:rPr>
          <w:rFonts w:hint="eastAsia"/>
        </w:rPr>
        <w:t>微模块是一种先进的数据中心建设方式，通过工厂预制的形式，采用简单的现场拼装，形成标准化的模块，从而实现快速搭建、按需部署及性能的可预测性。微模块可将一定数量的机柜通过底座和顶板组合在一起，每个模块内部组成一个空间，可提供多个标准机柜，高度集成底座、机柜、冷通道、空调、电源、电池、配电、照明、视频、门禁、消防等于一体，通过冷、热通道隔离，形成有效气流组织，以满足IT设备运行环境要求。</w:t>
      </w:r>
    </w:p>
    <w:p>
      <w:pPr>
        <w:pStyle w:val="57"/>
        <w:ind w:firstLine="420"/>
      </w:pPr>
      <w:r>
        <w:rPr>
          <w:rFonts w:hint="eastAsia"/>
        </w:rPr>
        <w:t>微模块</w:t>
      </w:r>
      <w:r>
        <w:rPr>
          <w:rFonts w:hint="eastAsia"/>
          <w:color w:val="000000" w:themeColor="text1"/>
          <w14:textFill>
            <w14:solidFill>
              <w14:schemeClr w14:val="tx1"/>
            </w14:solidFill>
          </w14:textFill>
        </w:rPr>
        <w:t>数据中心建设基本配置如下</w:t>
      </w:r>
      <w:r>
        <w:rPr>
          <w:rFonts w:hint="eastAsia"/>
        </w:rPr>
        <w:t>：</w:t>
      </w:r>
    </w:p>
    <w:p>
      <w:pPr>
        <w:pStyle w:val="57"/>
        <w:ind w:firstLine="420"/>
      </w:pPr>
      <w:r>
        <w:rPr>
          <w:rFonts w:hint="eastAsia"/>
        </w:rPr>
        <w:t>1)服务器机柜系统；</w:t>
      </w:r>
    </w:p>
    <w:p>
      <w:pPr>
        <w:pStyle w:val="57"/>
        <w:ind w:firstLine="420"/>
      </w:pPr>
      <w:r>
        <w:rPr>
          <w:rFonts w:hint="eastAsia"/>
        </w:rPr>
        <w:t>2)封闭冷通道系统：微模块设备底座、地板高度为250mm。冷通道宽度为1200mm，内部铺设防静电地板，天窗支持消防联动，天窗翻转后最高点低于上方障碍物。通道门采用双开旋转门。</w:t>
      </w:r>
    </w:p>
    <w:p>
      <w:pPr>
        <w:pStyle w:val="57"/>
        <w:ind w:firstLine="420"/>
      </w:pPr>
      <w:r>
        <w:rPr>
          <w:rFonts w:hint="eastAsia"/>
        </w:rPr>
        <w:t>3)制冷系统：微模块采用风冷列间空调，回风温度37℃，冷凝温度45℃，采用N+1配置，保证有效的制冷效果。结合项目地点气候特征，预留空调冷凝排水等接口；</w:t>
      </w:r>
    </w:p>
    <w:p>
      <w:pPr>
        <w:pStyle w:val="57"/>
        <w:ind w:firstLine="420"/>
      </w:pPr>
      <w:r>
        <w:rPr>
          <w:rFonts w:hint="eastAsia"/>
        </w:rPr>
        <w:t>4)配电系统：微模块采用一体化UPS，高度集成UPS配电、UPS功率模块、IT机柜配电、空调配电、照明配电、管控配电等功能。一体化UPS的最大功率为150kVA，同时具备功率模块N+1冗余。电池备电时间支持30分钟。</w:t>
      </w:r>
    </w:p>
    <w:p>
      <w:pPr>
        <w:pStyle w:val="57"/>
        <w:ind w:firstLine="420"/>
      </w:pPr>
      <w:r>
        <w:rPr>
          <w:rFonts w:hint="eastAsia"/>
        </w:rPr>
        <w:t>5)综合布线系统：包括微模块强电、弱电的上走线；</w:t>
      </w:r>
    </w:p>
    <w:p>
      <w:pPr>
        <w:pStyle w:val="57"/>
        <w:ind w:firstLine="420"/>
      </w:pPr>
      <w:r>
        <w:rPr>
          <w:rFonts w:hint="eastAsia"/>
        </w:rPr>
        <w:t>6)防雷接地系统：微模块机柜、电源、空调、配电柜、底座等金属导体接地；</w:t>
      </w:r>
    </w:p>
    <w:p>
      <w:pPr>
        <w:pStyle w:val="57"/>
        <w:ind w:firstLine="420"/>
      </w:pPr>
      <w:r>
        <w:rPr>
          <w:rFonts w:hint="eastAsia"/>
        </w:rPr>
        <w:t>7)照明系统：微模块内部照明系统；</w:t>
      </w:r>
    </w:p>
    <w:p>
      <w:pPr>
        <w:pStyle w:val="57"/>
        <w:ind w:firstLine="420"/>
      </w:pPr>
      <w:r>
        <w:rPr>
          <w:rFonts w:hint="eastAsia"/>
        </w:rPr>
        <w:t>8)管控系统：包括微模块动力监控、环境监控、门禁监控和视频监控。</w:t>
      </w:r>
    </w:p>
    <w:p>
      <w:pPr>
        <w:pStyle w:val="231"/>
        <w:spacing w:before="160" w:after="160" w:line="240" w:lineRule="auto"/>
        <w:ind w:firstLine="0"/>
        <w:rPr>
          <w:rFonts w:asciiTheme="majorEastAsia" w:hAnsiTheme="majorEastAsia" w:eastAsiaTheme="majorEastAsia"/>
          <w:sz w:val="21"/>
          <w:szCs w:val="21"/>
        </w:rPr>
      </w:pPr>
      <w:r>
        <w:rPr>
          <w:rFonts w:hint="eastAsia" w:asciiTheme="majorEastAsia" w:hAnsiTheme="majorEastAsia" w:eastAsiaTheme="majorEastAsia"/>
          <w:sz w:val="21"/>
          <w:szCs w:val="21"/>
        </w:rPr>
        <w:t>4.4.软件建设</w:t>
      </w:r>
    </w:p>
    <w:p>
      <w:pPr>
        <w:pStyle w:val="235"/>
        <w:spacing w:line="360" w:lineRule="auto"/>
        <w:rPr>
          <w:sz w:val="20"/>
          <w:szCs w:val="20"/>
        </w:rPr>
      </w:pPr>
      <w:r>
        <w:rPr>
          <w:rFonts w:hint="eastAsia"/>
          <w:sz w:val="20"/>
          <w:szCs w:val="20"/>
        </w:rPr>
        <w:t>4.4.1.易呼救子系统</w:t>
      </w:r>
    </w:p>
    <w:p>
      <w:pPr>
        <w:pStyle w:val="57"/>
        <w:ind w:firstLine="420"/>
      </w:pPr>
      <w:r>
        <w:rPr>
          <w:rFonts w:hint="eastAsia"/>
        </w:rPr>
        <w:t>实现一键呼救或为亲友进行报警，同时可以提供微信等小程序服务，支持听障人士报警进行文本呼救，并精准定位。</w:t>
      </w:r>
    </w:p>
    <w:p>
      <w:pPr>
        <w:pStyle w:val="235"/>
        <w:spacing w:line="360" w:lineRule="auto"/>
        <w:rPr>
          <w:sz w:val="20"/>
          <w:szCs w:val="20"/>
        </w:rPr>
      </w:pPr>
      <w:r>
        <w:rPr>
          <w:rFonts w:hint="eastAsia"/>
          <w:sz w:val="20"/>
          <w:szCs w:val="20"/>
        </w:rPr>
        <w:t>4.4.2.呼叫位置服务子系统</w:t>
      </w:r>
    </w:p>
    <w:p>
      <w:pPr>
        <w:pStyle w:val="57"/>
        <w:ind w:firstLine="420"/>
      </w:pPr>
      <w:r>
        <w:rPr>
          <w:rFonts w:hint="eastAsia"/>
        </w:rPr>
        <w:t>通过在急救中心建立全市的手机定位服务平台，充分利用已有的急救专网，为全市所有的急救中心、急救分站提供手机定位服务。</w:t>
      </w:r>
    </w:p>
    <w:p>
      <w:pPr>
        <w:pStyle w:val="235"/>
        <w:spacing w:line="360" w:lineRule="auto"/>
        <w:rPr>
          <w:sz w:val="20"/>
          <w:szCs w:val="20"/>
        </w:rPr>
      </w:pPr>
      <w:r>
        <w:rPr>
          <w:rFonts w:hint="eastAsia"/>
          <w:sz w:val="20"/>
          <w:szCs w:val="20"/>
        </w:rPr>
        <w:t>4.4.3.录音录时子系统</w:t>
      </w:r>
    </w:p>
    <w:p>
      <w:pPr>
        <w:pStyle w:val="57"/>
        <w:ind w:firstLine="420"/>
      </w:pPr>
      <w:r>
        <w:rPr>
          <w:rFonts w:hint="eastAsia"/>
        </w:rPr>
        <w:t>数字录音子系统支持单套、双套热备运行。热备方式运行可两套录音同时工作，同时记录，但提供用户的查询界面同一条录音只显示为一条记录。录音文件在线保存5年以上。</w:t>
      </w:r>
    </w:p>
    <w:p>
      <w:pPr>
        <w:pStyle w:val="235"/>
        <w:spacing w:line="360" w:lineRule="auto"/>
      </w:pPr>
      <w:r>
        <w:rPr>
          <w:rFonts w:hint="eastAsia"/>
          <w:sz w:val="20"/>
          <w:szCs w:val="20"/>
        </w:rPr>
        <w:t>4.4.4.受理调度子系统</w:t>
      </w:r>
    </w:p>
    <w:p>
      <w:pPr>
        <w:pStyle w:val="57"/>
        <w:ind w:firstLine="420"/>
      </w:pPr>
      <w:r>
        <w:rPr>
          <w:rFonts w:hint="eastAsia"/>
        </w:rPr>
        <w:t>120受理调度系统通过GIS地理信息、GPS/北斗全球定位、视频监控和移动医疗监护等手段提供的语音、数据、图像资源，实现集呼救受理、调配、急救于一体的移动救护平台；并对急救情况、处理结果进行监督；对重大灾害事故处理实施协调指挥和后方支持。</w:t>
      </w:r>
    </w:p>
    <w:p>
      <w:pPr>
        <w:pStyle w:val="235"/>
        <w:spacing w:line="360" w:lineRule="auto"/>
        <w:rPr>
          <w:sz w:val="20"/>
          <w:szCs w:val="20"/>
        </w:rPr>
      </w:pPr>
      <w:r>
        <w:rPr>
          <w:rFonts w:hint="eastAsia"/>
          <w:sz w:val="20"/>
          <w:szCs w:val="20"/>
        </w:rPr>
        <w:t>4.4.5.地理信息(GIS)子系统</w:t>
      </w:r>
    </w:p>
    <w:p>
      <w:pPr>
        <w:pStyle w:val="57"/>
        <w:ind w:firstLine="420"/>
      </w:pPr>
      <w:r>
        <w:rPr>
          <w:rFonts w:hint="eastAsia"/>
        </w:rPr>
        <w:t>地理信息子系统是急救中心显示呼救电话地点，确定发病地点，显示移动目标GPS信息，进行呼救处理工作的辅助决策系统。可向调度员推荐离急救病人最近的急救车辆、急救医院/医疗机构等信息。</w:t>
      </w:r>
    </w:p>
    <w:p>
      <w:pPr>
        <w:pStyle w:val="235"/>
        <w:spacing w:line="360" w:lineRule="auto"/>
        <w:rPr>
          <w:sz w:val="20"/>
          <w:szCs w:val="20"/>
        </w:rPr>
      </w:pPr>
      <w:r>
        <w:rPr>
          <w:rFonts w:hint="eastAsia"/>
          <w:sz w:val="20"/>
          <w:szCs w:val="20"/>
        </w:rPr>
        <w:t>4.4.6.在线高级生命支持子系统</w:t>
      </w:r>
    </w:p>
    <w:p>
      <w:pPr>
        <w:pStyle w:val="57"/>
        <w:ind w:firstLine="420"/>
      </w:pPr>
      <w:r>
        <w:rPr>
          <w:rFonts w:hint="eastAsia"/>
        </w:rPr>
        <w:t>在线高级生命支持子系统是急救指挥调度中进行现场评估和电话指导以及分级医疗处治的知识体系。充分利用急救车达到现场前的这一黄金急救时间，针对每一症状形成标准化的电话问诊流程以及电话指导现场进行急救处置。</w:t>
      </w:r>
    </w:p>
    <w:p>
      <w:pPr>
        <w:pStyle w:val="235"/>
        <w:spacing w:line="360" w:lineRule="auto"/>
        <w:rPr>
          <w:sz w:val="20"/>
          <w:szCs w:val="20"/>
        </w:rPr>
      </w:pPr>
      <w:r>
        <w:rPr>
          <w:rFonts w:hint="eastAsia"/>
          <w:sz w:val="20"/>
          <w:szCs w:val="20"/>
        </w:rPr>
        <w:t>4.4.7.120线路自动拨测子系统</w:t>
      </w:r>
    </w:p>
    <w:p>
      <w:pPr>
        <w:pStyle w:val="57"/>
        <w:ind w:firstLine="420"/>
      </w:pPr>
      <w:r>
        <w:rPr>
          <w:rFonts w:hint="eastAsia"/>
        </w:rPr>
        <w:t>120语音电话线路的通畅是120受理呼救的基础，急救中心需要随时关注120语音线路是否正常通畅，智能拨测服务系统主要通过对120特服号码进行自动呼叫，并通过CTI服务对呼叫过程的跟踪监测，以达到实时检测120语音链路通畅情况及在出现系统故障时发出警告的目的。</w:t>
      </w:r>
    </w:p>
    <w:p>
      <w:pPr>
        <w:pStyle w:val="235"/>
        <w:spacing w:line="360" w:lineRule="auto"/>
        <w:rPr>
          <w:sz w:val="20"/>
          <w:szCs w:val="20"/>
        </w:rPr>
      </w:pPr>
      <w:r>
        <w:rPr>
          <w:rFonts w:hint="eastAsia"/>
          <w:sz w:val="20"/>
          <w:szCs w:val="20"/>
        </w:rPr>
        <w:t>4.4.8.AED管理子系统</w:t>
      </w:r>
    </w:p>
    <w:p>
      <w:pPr>
        <w:pStyle w:val="57"/>
        <w:ind w:firstLine="420"/>
      </w:pPr>
      <w:r>
        <w:rPr>
          <w:rFonts w:hint="eastAsia"/>
        </w:rPr>
        <w:t>AED管理子系统根据AED的设备状态汇总，显示AED设备状态统计(可用、借出、损坏)，并且用颜色区分。系统界面显示区域地图，地图上根据所有AED的地理位置进行标注，不同颜色区别AED的状态。便于工作人员直观地查看AED安装的情况，并且可以便捷地查看AED设备信息。</w:t>
      </w:r>
    </w:p>
    <w:p>
      <w:pPr>
        <w:pStyle w:val="235"/>
        <w:spacing w:line="360" w:lineRule="auto"/>
        <w:rPr>
          <w:sz w:val="20"/>
          <w:szCs w:val="20"/>
        </w:rPr>
      </w:pPr>
      <w:r>
        <w:rPr>
          <w:rFonts w:hint="eastAsia"/>
          <w:sz w:val="20"/>
          <w:szCs w:val="20"/>
        </w:rPr>
        <w:t>4.4.9.急救分站联网子系统</w:t>
      </w:r>
    </w:p>
    <w:p>
      <w:pPr>
        <w:pStyle w:val="57"/>
        <w:ind w:firstLine="420"/>
      </w:pPr>
      <w:r>
        <w:rPr>
          <w:rFonts w:hint="eastAsia"/>
        </w:rPr>
        <w:t>急救分站联网子系统通过广域网络实现与急救中心指挥调度系统的数据的联网，用于接收中心下达的出车指令，并通过分站应用终端向中心反馈出车动态、患者信息、救治情况等。</w:t>
      </w:r>
    </w:p>
    <w:p>
      <w:pPr>
        <w:pStyle w:val="235"/>
        <w:spacing w:line="360" w:lineRule="auto"/>
        <w:rPr>
          <w:sz w:val="20"/>
          <w:szCs w:val="20"/>
        </w:rPr>
      </w:pPr>
      <w:r>
        <w:rPr>
          <w:rFonts w:hint="eastAsia"/>
          <w:sz w:val="20"/>
          <w:szCs w:val="20"/>
        </w:rPr>
        <w:t>4.4.10.车载信息子系统</w:t>
      </w:r>
    </w:p>
    <w:p>
      <w:pPr>
        <w:pStyle w:val="57"/>
        <w:ind w:firstLine="420"/>
      </w:pPr>
      <w:r>
        <w:rPr>
          <w:rFonts w:hint="eastAsia"/>
        </w:rPr>
        <w:t>车载信息子系统将急救车辆状态及医生、护士、司机人员管理，药品、器械、出车费用管理等自动管理纳入该系统中，不仅能很好地应用于急救车辆的指挥调度，而且还能够将车辆的状态信息如待命、出车、到达现场、病人上车、送达医院、任务完成、故障、返站以及人员管理费用管理等，通过现代化的无线通讯手段传送到急救中心，加强对急救车辆、人员、费用及急救现场的指挥工作。</w:t>
      </w:r>
    </w:p>
    <w:p>
      <w:pPr>
        <w:pStyle w:val="235"/>
        <w:spacing w:line="360" w:lineRule="auto"/>
        <w:rPr>
          <w:sz w:val="20"/>
          <w:szCs w:val="20"/>
        </w:rPr>
      </w:pPr>
      <w:r>
        <w:rPr>
          <w:rFonts w:hint="eastAsia"/>
          <w:sz w:val="20"/>
          <w:szCs w:val="20"/>
        </w:rPr>
        <w:t>4.4.11.车载视频监控子系统</w:t>
      </w:r>
    </w:p>
    <w:p>
      <w:pPr>
        <w:pStyle w:val="57"/>
        <w:ind w:firstLine="420"/>
      </w:pPr>
      <w:r>
        <w:rPr>
          <w:rFonts w:hint="eastAsia"/>
        </w:rPr>
        <w:t>车载视频监控子系统通过布置在急救车辆上的监控摄像头以及分站的监控摄像头，实时了解车内外的实时画面、分站的出车情况。系统在急救车辆上布置监控摄像头，部署在驾驶舱可以实时了解驾驶员驾驶情况，部署在驾驶前舱可以监控车辆前方的路况，部署在急救舱可以实时监控急救舱中的急救过程和病患状况，部署在急救车后面的摄像头可以监控车辆后方实时状况。</w:t>
      </w:r>
    </w:p>
    <w:p>
      <w:pPr>
        <w:pStyle w:val="235"/>
        <w:spacing w:line="360" w:lineRule="auto"/>
        <w:rPr>
          <w:sz w:val="20"/>
          <w:szCs w:val="20"/>
        </w:rPr>
      </w:pPr>
      <w:r>
        <w:rPr>
          <w:rFonts w:hint="eastAsia"/>
          <w:sz w:val="20"/>
          <w:szCs w:val="20"/>
        </w:rPr>
        <w:t>4.4.12.院前急救病历信息子系统</w:t>
      </w:r>
    </w:p>
    <w:p>
      <w:pPr>
        <w:pStyle w:val="57"/>
        <w:ind w:firstLine="420"/>
      </w:pPr>
      <w:r>
        <w:rPr>
          <w:rFonts w:hint="eastAsia"/>
        </w:rPr>
        <w:t>院前急救病历信息子系统是随车医生将病患送往医院的途中或者送达医院之后，随车医生通过急救电子病历的终端系统，选择本次急救事件填写病患的急救电子病历（系统提供智能关联），随车医生可以录入补充病患的基础信息，填写病患的救治信息、填写病患医疗费用信息以及急救车辆行驶信息等等。</w:t>
      </w:r>
    </w:p>
    <w:p>
      <w:pPr>
        <w:pStyle w:val="235"/>
        <w:spacing w:line="360" w:lineRule="auto"/>
      </w:pPr>
      <w:r>
        <w:rPr>
          <w:rFonts w:hint="eastAsia"/>
          <w:sz w:val="20"/>
          <w:szCs w:val="20"/>
        </w:rPr>
        <w:t>4.4.13.收费管理及发票管理子系统</w:t>
      </w:r>
    </w:p>
    <w:p>
      <w:pPr>
        <w:pStyle w:val="57"/>
        <w:ind w:firstLine="420"/>
      </w:pPr>
      <w:r>
        <w:rPr>
          <w:rFonts w:hint="eastAsia"/>
        </w:rPr>
        <w:t>收费管理及发票管理子系统是每台车辆配置一台便携打印机，机器配有蓝牙通信模块，可和移动终端进行连接，支持打印三联发票。移动端发票打印APP支持获取任务信息，录入车辆费用、医疗费用，生成费用收据或回执，可通过蓝牙连接针式打印机，打印纸质收据或回执。同时，收费管理子系统提供费票管理、收费模块维护、收费情况查询、收费明细统计等功能模块。</w:t>
      </w:r>
    </w:p>
    <w:p>
      <w:pPr>
        <w:pStyle w:val="235"/>
        <w:spacing w:line="360" w:lineRule="auto"/>
        <w:rPr>
          <w:sz w:val="20"/>
          <w:szCs w:val="20"/>
        </w:rPr>
      </w:pPr>
      <w:r>
        <w:rPr>
          <w:rFonts w:hint="eastAsia"/>
          <w:sz w:val="20"/>
          <w:szCs w:val="20"/>
        </w:rPr>
        <w:t>4.4.14.心电监护及心电传输子系统</w:t>
      </w:r>
    </w:p>
    <w:p>
      <w:pPr>
        <w:pStyle w:val="57"/>
        <w:ind w:firstLine="420"/>
      </w:pPr>
      <w:r>
        <w:rPr>
          <w:rFonts w:hint="eastAsia"/>
        </w:rPr>
        <w:t>心电监护及心电传输子系统是急救车到达现场接到病人后，可利用车载监护仪实时采集监护病患的生命体征数据，监护仪通过WIFI模块连接上车载无线路由器，通过运营商的4G/5G网络将采集到的病患生命体征数据实时传输到急救中心监护业务服务软件中，通过监护业务服务软件对接收的数据进行解析、存储，并将病患生命体征数据路由到目标医院，并在目标医院的预告知终端上以合理化的方式进行展示。</w:t>
      </w:r>
    </w:p>
    <w:p>
      <w:pPr>
        <w:pStyle w:val="235"/>
        <w:spacing w:line="360" w:lineRule="auto"/>
        <w:rPr>
          <w:sz w:val="20"/>
          <w:szCs w:val="20"/>
        </w:rPr>
      </w:pPr>
      <w:r>
        <w:rPr>
          <w:rFonts w:hint="eastAsia"/>
          <w:sz w:val="20"/>
          <w:szCs w:val="20"/>
        </w:rPr>
        <w:t>4.4.15.上车即入院子系统</w:t>
      </w:r>
    </w:p>
    <w:p>
      <w:pPr>
        <w:pStyle w:val="57"/>
        <w:ind w:firstLine="420"/>
      </w:pPr>
      <w:r>
        <w:rPr>
          <w:rFonts w:hint="eastAsia"/>
        </w:rPr>
        <w:t>上车即入院子系统融合5G、物联网、人工智能等技术，通过120统一调度、患者定位、车载会诊、院前电子病历等，实现了患者转运“上车即分诊”等功能，打通了院前急救和医院诊疗的互通互联，打破了急救医生“单兵作战”困局，实现了“急救现场—救护车—医院”连续、实时、多方协作的闭环救治。医院可根据患者情况，提前建卡和做好各种接诊准备工作（如准备病床、救治团队、药品等），待患者抵达医院时立即展开救治。</w:t>
      </w:r>
    </w:p>
    <w:p>
      <w:pPr>
        <w:pStyle w:val="235"/>
        <w:spacing w:line="360" w:lineRule="auto"/>
        <w:rPr>
          <w:sz w:val="20"/>
          <w:szCs w:val="20"/>
        </w:rPr>
      </w:pPr>
      <w:r>
        <w:rPr>
          <w:rFonts w:hint="eastAsia"/>
          <w:sz w:val="20"/>
          <w:szCs w:val="20"/>
        </w:rPr>
        <w:t>4.4.16.联网医院预告知子系统</w:t>
      </w:r>
    </w:p>
    <w:p>
      <w:pPr>
        <w:pStyle w:val="57"/>
        <w:ind w:firstLine="420"/>
      </w:pPr>
      <w:r>
        <w:rPr>
          <w:rFonts w:hint="eastAsia"/>
        </w:rPr>
        <w:t>联网医院预告知子系统是在医院急诊室内显示当前救治任务的基本信息及病人的初步诊断信息，动态显示正在送达的车辆所执行任务的实时节点状态，实时显示当前车辆离本医院的距离，以及预计达到的时间，显示救护病人的实时生命体征信息。</w:t>
      </w:r>
    </w:p>
    <w:p>
      <w:pPr>
        <w:pStyle w:val="235"/>
        <w:spacing w:line="360" w:lineRule="auto"/>
      </w:pPr>
      <w:r>
        <w:rPr>
          <w:rFonts w:hint="eastAsia"/>
          <w:sz w:val="20"/>
          <w:szCs w:val="20"/>
        </w:rPr>
        <w:t>4.4.17.数据统计分析子系统</w:t>
      </w:r>
    </w:p>
    <w:p>
      <w:pPr>
        <w:pStyle w:val="57"/>
        <w:ind w:firstLine="420"/>
      </w:pPr>
      <w:r>
        <w:rPr>
          <w:rFonts w:hint="eastAsia"/>
        </w:rPr>
        <w:t>数据统计分析子系统是对急救任务中所产生的数据进行综合统计分析，其中包括急救中心整体工作量统计，驾驶员工作效率统计，调度员工作效率统计，调度员受理用时统计，受理调度综合分析，接处警流程总体分析（从接警到完成的全流程分析），重大突发事件伤亡情况统计，呼叫话务情况统计，来电类型情况统计，呼叫时间分布统计，出车情况统计，特殊事件统计，放空原因统计，3秒内接通率统计等等，统计结果能够以数字、表格、直方图、饼图、曲线等多种形式显示并打印或输出文件。</w:t>
      </w:r>
    </w:p>
    <w:p>
      <w:pPr>
        <w:pStyle w:val="235"/>
        <w:spacing w:line="360" w:lineRule="auto"/>
        <w:rPr>
          <w:sz w:val="20"/>
          <w:szCs w:val="20"/>
        </w:rPr>
      </w:pPr>
      <w:r>
        <w:rPr>
          <w:rFonts w:hint="eastAsia"/>
          <w:sz w:val="20"/>
          <w:szCs w:val="20"/>
        </w:rPr>
        <w:t>4.4.18.大数据可视化展示子系统</w:t>
      </w:r>
    </w:p>
    <w:p>
      <w:pPr>
        <w:pStyle w:val="57"/>
        <w:ind w:firstLine="420"/>
      </w:pPr>
      <w:r>
        <w:rPr>
          <w:rFonts w:hint="eastAsia"/>
        </w:rPr>
        <w:t>大数据可视化展示子系统是结合可视化展示仪表盘、饼状图、柱状图、环形图、时间器、标准条形图及地图密度图、热力图等，实时展示急救大数据统计及分析数据，包括急救工作量（呼叫量、受理量、出车量）、急救响应时间（摘机响应时间、受理用时、出车用时、到达现场用时等）、呼救热力图、救治结果（病人分流、急救病谱、病情等级、收费情况）等，用于监测预警突发事件等功能；展示全部急救资源统计及分析数据，包括人员（岗位、学历、职称等）、站点（站点类型、站点分布等）、车辆（车辆类型、品牌、年检到期、保险到期、维修费用等）、医院（医院等级、专长等）、物资（设备、耗材、药品等使用情况）、公共资源分析（志愿者、社区医生、AED等数量和服务情况），方便资源的调配和布局；展示特殊事件的统计及分析数据，包含事件类型、事件等级、事件列表、事件分布等。</w:t>
      </w:r>
    </w:p>
    <w:p>
      <w:pPr>
        <w:pStyle w:val="235"/>
        <w:spacing w:line="360" w:lineRule="auto"/>
        <w:rPr>
          <w:sz w:val="20"/>
          <w:szCs w:val="20"/>
        </w:rPr>
      </w:pPr>
      <w:r>
        <w:rPr>
          <w:rFonts w:hint="eastAsia"/>
          <w:sz w:val="20"/>
          <w:szCs w:val="20"/>
        </w:rPr>
        <w:t>4.4.19.综合显示子系统</w:t>
      </w:r>
    </w:p>
    <w:p>
      <w:pPr>
        <w:pStyle w:val="57"/>
        <w:ind w:firstLine="420"/>
      </w:pPr>
      <w:r>
        <w:rPr>
          <w:rFonts w:hint="eastAsia"/>
        </w:rPr>
        <w:t>综合显示子系统主要实现对突发公共事件卫生应急相关资源的有效管理，突发公共卫生事件的动态监测，并提供专业预警信息。面对各级各类突发公共事件，能够快速采集数据，为领导提供决策依据和命令指挥工具。通过网络与省和市应急指挥与决策系统连接，实现信息报送、指令传递与信息资源共享。</w:t>
      </w:r>
    </w:p>
    <w:p>
      <w:pPr>
        <w:pStyle w:val="235"/>
        <w:spacing w:line="360" w:lineRule="auto"/>
      </w:pPr>
      <w:r>
        <w:rPr>
          <w:rFonts w:hint="eastAsia"/>
          <w:sz w:val="20"/>
          <w:szCs w:val="20"/>
        </w:rPr>
        <w:t>4.4.20.满意度回访子系统</w:t>
      </w:r>
    </w:p>
    <w:p>
      <w:pPr>
        <w:pStyle w:val="57"/>
        <w:ind w:firstLine="420"/>
      </w:pPr>
      <w:r>
        <w:rPr>
          <w:rFonts w:hint="eastAsia"/>
        </w:rPr>
        <w:t>满意度回访子系统主要用于在对手机用户拨打“120”并享受院前急救服务后向用户发送手机短信等方式进行回访，调查用户对服务的满意度情况，并对调查结果进行统计分析，以便及时反映急救中心工作的效果，及时发现日常工作中不规范的地方，改善服务质量，更好的为居民服务。系统包括自动回访、回访结果统计功能等。</w:t>
      </w:r>
    </w:p>
    <w:p>
      <w:pPr>
        <w:pStyle w:val="235"/>
        <w:spacing w:line="360" w:lineRule="auto"/>
        <w:rPr>
          <w:sz w:val="20"/>
          <w:szCs w:val="20"/>
        </w:rPr>
      </w:pPr>
      <w:r>
        <w:rPr>
          <w:rFonts w:hint="eastAsia"/>
          <w:sz w:val="20"/>
          <w:szCs w:val="20"/>
        </w:rPr>
        <w:t>4.4.21.突发事件应急指挥子系统</w:t>
      </w:r>
    </w:p>
    <w:p>
      <w:pPr>
        <w:pStyle w:val="57"/>
        <w:ind w:firstLine="420"/>
      </w:pPr>
      <w:r>
        <w:rPr>
          <w:rFonts w:hint="eastAsia"/>
        </w:rPr>
        <w:t>突发事件应急指挥子系统依托院前急救平台的基础数据上，系统根据预先设置的预警条件（比如一个事件多次派车，一个事件伤亡人数达X人，敏感词（地震、海啸、火灾等等）等），自动预警突发事件，抓取到的信息会自动展示在突发事件预警事件队列中，待审核人员核实和发布。系统自动感知到突发预警消息后，除了在突发事件预警模块中展示外，还将预警信息通过短信平台以短信方式告知突发事件预警信息初审人员。</w:t>
      </w:r>
    </w:p>
    <w:p>
      <w:pPr>
        <w:pStyle w:val="105"/>
        <w:spacing w:before="312" w:after="312"/>
        <w:rPr>
          <w:szCs w:val="21"/>
        </w:rPr>
      </w:pPr>
      <w:bookmarkStart w:id="61" w:name="_Toc169251092"/>
      <w:bookmarkStart w:id="62" w:name="_Toc169251154"/>
      <w:r>
        <w:rPr>
          <w:rFonts w:hint="eastAsia"/>
          <w:szCs w:val="21"/>
        </w:rPr>
        <w:t>运行管理</w:t>
      </w:r>
      <w:bookmarkEnd w:id="61"/>
      <w:bookmarkEnd w:id="62"/>
    </w:p>
    <w:p>
      <w:pPr>
        <w:pStyle w:val="231"/>
        <w:spacing w:before="160" w:after="160" w:line="240" w:lineRule="auto"/>
        <w:ind w:firstLine="0"/>
        <w:rPr>
          <w:rFonts w:asciiTheme="majorEastAsia" w:hAnsiTheme="majorEastAsia" w:eastAsiaTheme="majorEastAsia"/>
          <w:sz w:val="21"/>
          <w:szCs w:val="21"/>
        </w:rPr>
      </w:pPr>
      <w:r>
        <w:rPr>
          <w:rFonts w:hint="eastAsia" w:asciiTheme="majorEastAsia" w:hAnsiTheme="majorEastAsia" w:eastAsiaTheme="majorEastAsia"/>
          <w:sz w:val="21"/>
          <w:szCs w:val="21"/>
        </w:rPr>
        <w:t>5.1.运行流程</w:t>
      </w:r>
    </w:p>
    <w:p>
      <w:pPr>
        <w:pStyle w:val="233"/>
      </w:pPr>
      <w:r>
        <w:tab/>
      </w:r>
      <w:r>
        <w:drawing>
          <wp:inline distT="0" distB="0" distL="114300" distR="114300">
            <wp:extent cx="5560060" cy="2745105"/>
            <wp:effectExtent l="0" t="0" r="0" b="0"/>
            <wp:docPr id="63767131" name="ECB019B1-382A-4266-B25C-5B523AA43C14-1" descr="C:/Users/yanghong/AppData/Local/Temp/wpp.vQWjkQw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67131" name="ECB019B1-382A-4266-B25C-5B523AA43C14-1" descr="C:/Users/yanghong/AppData/Local/Temp/wpp.vQWjkQwpp"/>
                    <pic:cNvPicPr>
                      <a:picLocks noChangeAspect="1"/>
                    </pic:cNvPicPr>
                  </pic:nvPicPr>
                  <pic:blipFill>
                    <a:blip r:embed="rId14"/>
                    <a:stretch>
                      <a:fillRect/>
                    </a:stretch>
                  </pic:blipFill>
                  <pic:spPr>
                    <a:xfrm>
                      <a:off x="0" y="0"/>
                      <a:ext cx="5560060" cy="2745105"/>
                    </a:xfrm>
                    <a:prstGeom prst="rect">
                      <a:avLst/>
                    </a:prstGeom>
                  </pic:spPr>
                </pic:pic>
              </a:graphicData>
            </a:graphic>
          </wp:inline>
        </w:drawing>
      </w:r>
    </w:p>
    <w:p>
      <w:pPr>
        <w:pStyle w:val="231"/>
        <w:spacing w:before="160" w:after="160" w:line="240" w:lineRule="auto"/>
        <w:ind w:firstLine="0"/>
        <w:rPr>
          <w:rFonts w:asciiTheme="majorEastAsia" w:hAnsiTheme="majorEastAsia" w:eastAsiaTheme="majorEastAsia"/>
          <w:sz w:val="21"/>
          <w:szCs w:val="21"/>
        </w:rPr>
      </w:pPr>
      <w:r>
        <w:rPr>
          <w:rFonts w:hint="eastAsia" w:asciiTheme="majorEastAsia" w:hAnsiTheme="majorEastAsia" w:eastAsiaTheme="majorEastAsia"/>
          <w:sz w:val="21"/>
          <w:szCs w:val="21"/>
        </w:rPr>
        <w:t>5.2.制度建设管理</w:t>
      </w:r>
    </w:p>
    <w:p>
      <w:pPr>
        <w:pStyle w:val="235"/>
        <w:spacing w:line="360" w:lineRule="auto"/>
        <w:rPr>
          <w:sz w:val="20"/>
          <w:szCs w:val="20"/>
        </w:rPr>
      </w:pPr>
      <w:r>
        <w:rPr>
          <w:rFonts w:hint="eastAsia"/>
          <w:sz w:val="20"/>
          <w:szCs w:val="20"/>
        </w:rPr>
        <w:t>5.2.1.加强组织领导和机构建设</w:t>
      </w:r>
    </w:p>
    <w:p>
      <w:pPr>
        <w:pStyle w:val="57"/>
        <w:ind w:firstLine="420"/>
      </w:pPr>
      <w:r>
        <w:rPr>
          <w:rFonts w:hint="eastAsia"/>
        </w:rPr>
        <w:t>领导重视和支持是信息化建设成败的关键。要继续加强组织领导，根据实际情况建立分工合理、责任明确的智慧急救信息化服务工作的推进协调机制，促进信息化建设健康发展。建立信息化工作领导小组，组织贯彻落实信息化工作的方针、政策和任务，统一领导本项目的信息化建设；研究、审批信息化建设规划、重大工程项目计划以及信息化建设步骤；组织协调信息化建设中的重大问题；检查监督本项目的信息化工作细节。</w:t>
      </w:r>
    </w:p>
    <w:p>
      <w:pPr>
        <w:pStyle w:val="235"/>
        <w:spacing w:line="360" w:lineRule="auto"/>
        <w:rPr>
          <w:sz w:val="20"/>
          <w:szCs w:val="20"/>
        </w:rPr>
      </w:pPr>
      <w:r>
        <w:rPr>
          <w:rFonts w:hint="eastAsia"/>
          <w:sz w:val="20"/>
          <w:szCs w:val="20"/>
        </w:rPr>
        <w:t>5.2.2.加强制度建设</w:t>
      </w:r>
    </w:p>
    <w:p>
      <w:pPr>
        <w:pStyle w:val="57"/>
        <w:ind w:firstLine="420"/>
      </w:pPr>
      <w:r>
        <w:rPr>
          <w:rFonts w:hint="eastAsia"/>
        </w:rPr>
        <w:t>内容完备、切实可行的信息化制度是决定智慧急救信息化建设能否顺利开展的基础。要继续健全、完善和落实各项信息化工作制度，充分发挥制度在规范操作、明确责任、保证质量、提高效率等方面的重要作用。建立健全系统运行维护与系统管理保障制度，建立信息资源共享与交换、业务协同等管理制度；建立对业务需求的沟通、获取、跟踪和管理机制，加强信息化与业务的融合。</w:t>
      </w:r>
    </w:p>
    <w:p>
      <w:pPr>
        <w:pStyle w:val="235"/>
        <w:spacing w:line="360" w:lineRule="auto"/>
        <w:rPr>
          <w:sz w:val="20"/>
          <w:szCs w:val="20"/>
        </w:rPr>
      </w:pPr>
      <w:r>
        <w:rPr>
          <w:rFonts w:hint="eastAsia"/>
          <w:sz w:val="20"/>
          <w:szCs w:val="20"/>
        </w:rPr>
        <w:t>5.2.3.加强队伍建设和人才培养</w:t>
      </w:r>
    </w:p>
    <w:p>
      <w:pPr>
        <w:pStyle w:val="57"/>
        <w:ind w:firstLine="420"/>
      </w:pPr>
      <w:r>
        <w:rPr>
          <w:rFonts w:hint="eastAsia"/>
        </w:rPr>
        <w:t>建设一支政治过硬、技术过硬、作风过硬、严谨务实的信息化干部队伍是智慧急救信息化建设的根本。要进一步加强信息化队伍建设，注重信息化人才培养。</w:t>
      </w:r>
    </w:p>
    <w:p>
      <w:pPr>
        <w:pStyle w:val="57"/>
        <w:ind w:firstLine="420"/>
      </w:pPr>
      <w:r>
        <w:rPr>
          <w:rFonts w:hint="eastAsia"/>
        </w:rPr>
        <w:t>1、采取措施，培养、引进信息化人才，稳定技术队伍，改善和提高信息技术人员待遇，创造适合技术人员发挥技术特长的环境，培养一批政治过硬、业务娴熟、技术精湛又具有一定组织管理能力的复合型技术人才，为智慧急救信息化建设工作提供中坚力量。</w:t>
      </w:r>
    </w:p>
    <w:p>
      <w:pPr>
        <w:pStyle w:val="57"/>
        <w:ind w:firstLine="420"/>
      </w:pPr>
      <w:r>
        <w:rPr>
          <w:rFonts w:hint="eastAsia"/>
        </w:rPr>
        <w:t>2、加强领导干部的信息化知识培训，提高信息化管理水平。加强信息管理机构技术人员的专业技术培训，提高信息化队伍的整体技术水平。加强智慧急救信息化服务全员的技术应用培训，提高信息化整体应用水平。加强信息化培训，开展形式多样的信息化知识普及、教育活动和技术竞赛，提升工作队伍对信息化的认知水平。</w:t>
      </w:r>
    </w:p>
    <w:p>
      <w:pPr>
        <w:pStyle w:val="57"/>
        <w:ind w:firstLine="420"/>
      </w:pPr>
      <w:r>
        <w:rPr>
          <w:rFonts w:hint="eastAsia"/>
        </w:rPr>
        <w:t>3、联合承建单位即高校、企业，采用借调、兼职等柔性人才引进机制，在引进人才上，充分利用高校和高新技术企业的人力资源，打破人才引进中的条条框框，转变观念，开拓创新，树立“只求为我所用，不求为我所有”的“候鸟式”人才引进观念，采用一种柔性人才引进机制——借调、兼职。</w:t>
      </w:r>
    </w:p>
    <w:p>
      <w:pPr>
        <w:pStyle w:val="235"/>
        <w:spacing w:line="360" w:lineRule="auto"/>
        <w:rPr>
          <w:sz w:val="20"/>
          <w:szCs w:val="20"/>
        </w:rPr>
      </w:pPr>
      <w:r>
        <w:rPr>
          <w:rFonts w:hint="eastAsia"/>
          <w:sz w:val="20"/>
          <w:szCs w:val="20"/>
        </w:rPr>
        <w:t>5.2.4.加强经费保障</w:t>
      </w:r>
    </w:p>
    <w:p>
      <w:pPr>
        <w:pStyle w:val="57"/>
        <w:ind w:firstLine="420"/>
      </w:pPr>
      <w:r>
        <w:rPr>
          <w:rFonts w:hint="eastAsia"/>
        </w:rPr>
        <w:t>信息化建设和运行维护经费是项目服务工作的重要保障。依托相关部门做好资金的预算保障工作，加大对本项目信息化资金的投入。</w:t>
      </w:r>
    </w:p>
    <w:p>
      <w:pPr>
        <w:pStyle w:val="235"/>
        <w:spacing w:line="360" w:lineRule="auto"/>
        <w:rPr>
          <w:sz w:val="20"/>
          <w:szCs w:val="20"/>
        </w:rPr>
      </w:pPr>
      <w:r>
        <w:rPr>
          <w:rFonts w:hint="eastAsia"/>
          <w:sz w:val="20"/>
          <w:szCs w:val="20"/>
        </w:rPr>
        <w:t>5.2.5.加强质量管理</w:t>
      </w:r>
    </w:p>
    <w:p>
      <w:pPr>
        <w:pStyle w:val="95"/>
        <w:numPr>
          <w:ilvl w:val="4"/>
          <w:numId w:val="0"/>
        </w:numPr>
        <w:spacing w:beforeLines="0" w:afterLines="0"/>
        <w:ind w:firstLine="420" w:firstLineChars="200"/>
        <w:rPr>
          <w:rFonts w:ascii="宋体" w:hAnsi="宋体" w:eastAsia="宋体"/>
        </w:rPr>
      </w:pPr>
      <w:r>
        <w:rPr>
          <w:rFonts w:hint="eastAsia" w:ascii="宋体" w:hAnsi="宋体" w:eastAsia="宋体"/>
        </w:rPr>
        <w:t>5.2.5.1智慧急救中心成立以急救中心科主任为组长的医疗质量管理小组，在区域卫健委医疗质量管理委员会领导下开展工作，并对其负责；</w:t>
      </w:r>
    </w:p>
    <w:p>
      <w:pPr>
        <w:pStyle w:val="95"/>
        <w:numPr>
          <w:ilvl w:val="4"/>
          <w:numId w:val="0"/>
        </w:numPr>
        <w:spacing w:beforeLines="0" w:afterLines="0"/>
        <w:ind w:firstLine="420" w:firstLineChars="200"/>
        <w:rPr>
          <w:rFonts w:ascii="宋体" w:hAnsi="宋体" w:eastAsia="宋体"/>
        </w:rPr>
      </w:pPr>
      <w:r>
        <w:rPr>
          <w:rFonts w:hint="eastAsia" w:ascii="宋体" w:hAnsi="宋体" w:eastAsia="宋体"/>
        </w:rPr>
        <w:t>5.2.5.2根据《江苏省院前医疗急救条例》和江苏省院前急救质控中心的要求，结合实际情况，制定智慧急救中心质量管理目标及实施细则。</w:t>
      </w:r>
    </w:p>
    <w:p>
      <w:pPr>
        <w:pStyle w:val="95"/>
        <w:numPr>
          <w:ilvl w:val="4"/>
          <w:numId w:val="0"/>
        </w:numPr>
        <w:spacing w:beforeLines="0" w:afterLines="0"/>
        <w:ind w:firstLine="420" w:firstLineChars="200"/>
        <w:rPr>
          <w:rFonts w:ascii="宋体" w:hAnsi="宋体" w:eastAsia="宋体"/>
        </w:rPr>
      </w:pPr>
      <w:r>
        <w:rPr>
          <w:rFonts w:hint="eastAsia" w:ascii="宋体" w:hAnsi="宋体" w:eastAsia="宋体"/>
        </w:rPr>
        <w:t>5.2.5.3建立规范的操作规程、医疗质量质控标准及措施；建立健全医疗工作制度，制定切实可行的质量管理目标和工作计划并组织实施；</w:t>
      </w:r>
    </w:p>
    <w:p>
      <w:pPr>
        <w:pStyle w:val="95"/>
        <w:numPr>
          <w:ilvl w:val="4"/>
          <w:numId w:val="0"/>
        </w:numPr>
        <w:spacing w:beforeLines="0" w:afterLines="0"/>
        <w:ind w:firstLine="420" w:firstLineChars="200"/>
        <w:rPr>
          <w:rFonts w:ascii="宋体" w:hAnsi="宋体" w:eastAsia="宋体"/>
        </w:rPr>
      </w:pPr>
      <w:r>
        <w:rPr>
          <w:rFonts w:hint="eastAsia" w:ascii="宋体" w:hAnsi="宋体" w:eastAsia="宋体"/>
        </w:rPr>
        <w:t>5.2.5.4制定防止医疗差错事故的措施。</w:t>
      </w:r>
    </w:p>
    <w:p>
      <w:pPr>
        <w:pStyle w:val="95"/>
        <w:numPr>
          <w:ilvl w:val="4"/>
          <w:numId w:val="0"/>
        </w:numPr>
        <w:spacing w:beforeLines="0" w:afterLines="0"/>
        <w:ind w:firstLine="420" w:firstLineChars="200"/>
        <w:rPr>
          <w:rFonts w:ascii="宋体" w:hAnsi="宋体" w:eastAsia="宋体"/>
        </w:rPr>
      </w:pPr>
      <w:r>
        <w:rPr>
          <w:rFonts w:hint="eastAsia" w:ascii="宋体" w:hAnsi="宋体" w:eastAsia="宋体"/>
        </w:rPr>
        <w:t>5.2.5.5定期开展活动，每季度对急救质量进行监督检查，发现问题及时解决，完善质控报告，并将检查结果进行通报及上报医疗质量管理委员会。</w:t>
      </w:r>
    </w:p>
    <w:p>
      <w:pPr>
        <w:pStyle w:val="95"/>
        <w:numPr>
          <w:ilvl w:val="4"/>
          <w:numId w:val="0"/>
        </w:numPr>
        <w:spacing w:beforeLines="0" w:afterLines="0"/>
        <w:ind w:firstLine="420" w:firstLineChars="200"/>
        <w:rPr>
          <w:rFonts w:ascii="宋体" w:hAnsi="宋体" w:eastAsia="宋体"/>
        </w:rPr>
      </w:pPr>
      <w:r>
        <w:rPr>
          <w:rFonts w:hint="eastAsia" w:ascii="宋体" w:hAnsi="宋体" w:eastAsia="宋体"/>
        </w:rPr>
        <w:t>5.2.5.6制定培训计划，定期组织医疗、护理、调度员、驾驶员、担架员进行培训，不断提高工作人员的职业素质和业务水平。</w:t>
      </w:r>
    </w:p>
    <w:p>
      <w:pPr>
        <w:pStyle w:val="235"/>
        <w:spacing w:line="360" w:lineRule="auto"/>
        <w:rPr>
          <w:sz w:val="20"/>
          <w:szCs w:val="20"/>
        </w:rPr>
      </w:pPr>
      <w:r>
        <w:rPr>
          <w:rFonts w:hint="eastAsia"/>
          <w:sz w:val="20"/>
          <w:szCs w:val="20"/>
        </w:rPr>
        <w:t>5.2.6.智慧急救中心建设考核标准</w:t>
      </w:r>
    </w:p>
    <w:p>
      <w:pPr>
        <w:spacing w:before="118" w:line="222" w:lineRule="auto"/>
        <w:jc w:val="left"/>
        <w:outlineLvl w:val="0"/>
        <w:rPr>
          <w:rFonts w:ascii="宋体" w:hAnsi="宋体" w:cs="宋体"/>
        </w:rPr>
      </w:pPr>
      <w:r>
        <w:rPr>
          <w:rFonts w:hint="eastAsia"/>
          <w:sz w:val="20"/>
          <w:szCs w:val="20"/>
        </w:rPr>
        <w:t>5.2.6.1</w:t>
      </w:r>
      <w:r>
        <w:rPr>
          <w:rFonts w:hint="eastAsia" w:ascii="宋体" w:hAnsi="宋体" w:cs="宋体"/>
          <w:b/>
          <w:bCs/>
          <w:spacing w:val="-12"/>
        </w:rPr>
        <w:t>行政管理100分</w:t>
      </w:r>
    </w:p>
    <w:p>
      <w:pPr>
        <w:spacing w:line="122" w:lineRule="exact"/>
      </w:pPr>
    </w:p>
    <w:tbl>
      <w:tblPr>
        <w:tblStyle w:val="2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27"/>
        <w:gridCol w:w="3362"/>
        <w:gridCol w:w="237"/>
        <w:gridCol w:w="1396"/>
        <w:gridCol w:w="32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标准</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基本要求</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标准</w:t>
            </w:r>
          </w:p>
          <w:p>
            <w:pPr>
              <w:spacing w:line="240" w:lineRule="exact"/>
              <w:jc w:val="center"/>
              <w:rPr>
                <w:rFonts w:ascii="宋体" w:hAnsi="宋体" w:cs="宋体"/>
                <w:sz w:val="18"/>
                <w:szCs w:val="18"/>
              </w:rPr>
            </w:pPr>
            <w:r>
              <w:rPr>
                <w:rFonts w:hint="eastAsia" w:ascii="宋体" w:hAnsi="宋体" w:cs="宋体"/>
                <w:sz w:val="18"/>
                <w:szCs w:val="18"/>
              </w:rPr>
              <w:t>分</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考评方法</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扣分标准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restart"/>
            <w:tcBorders>
              <w:bottom w:val="nil"/>
            </w:tcBorders>
            <w:vAlign w:val="center"/>
          </w:tcPr>
          <w:p>
            <w:pPr>
              <w:spacing w:line="240" w:lineRule="exact"/>
              <w:rPr>
                <w:rFonts w:ascii="宋体" w:hAnsi="宋体" w:cs="宋体"/>
                <w:sz w:val="18"/>
                <w:szCs w:val="18"/>
              </w:rPr>
            </w:pPr>
            <w:r>
              <w:rPr>
                <w:rFonts w:hint="eastAsia" w:ascii="宋体" w:hAnsi="宋体" w:cs="宋体"/>
                <w:sz w:val="18"/>
                <w:szCs w:val="18"/>
              </w:rPr>
              <w:t>1.领导体制健全管理队伍建设规范(30分)</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1-1实行主任(站长)负责制；落实任期目标责任制；坚持民主集中制；领导班子团结；分工合理、职责明确并能落实</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15</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查阅文件资料、随访、座谈或问卷调查(不记名，下同)</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1项做不到扣2分(扣完本条基本要求标准分为止，不倒扣。下同)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bottom w:val="nil"/>
            </w:tcBorders>
            <w:vAlign w:val="center"/>
          </w:tcPr>
          <w:p>
            <w:pPr>
              <w:spacing w:line="240" w:lineRule="exact"/>
              <w:rPr>
                <w:rFonts w:ascii="宋体" w:hAnsi="宋体" w:cs="宋体"/>
                <w:sz w:val="18"/>
                <w:szCs w:val="18"/>
              </w:rPr>
            </w:pP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1-2领导干部具有本科及其以上学历、中层干部大专及其以上学历；所有中层(含副职)及其以上干部上岗前后经过省、市卫生管理培训并经考核合格</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10</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查阅证件、资料，随机抽考管理知识</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有1人学历不符合扣1分；有1人未经过培训或抽考不合格扣1分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tcBorders>
            <w:vAlign w:val="center"/>
          </w:tcPr>
          <w:p>
            <w:pPr>
              <w:spacing w:line="240" w:lineRule="exact"/>
              <w:rPr>
                <w:rFonts w:ascii="宋体" w:hAnsi="宋体" w:cs="宋体"/>
                <w:sz w:val="18"/>
                <w:szCs w:val="18"/>
              </w:rPr>
            </w:pP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1-3认真落实省卫生厅“六个必须执行”,有措施、有奖惩；无媒体负面报道</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5</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查阅资料、实地考察与了解</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1项未执行扣2分；有1次负面报道扣5分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restart"/>
            <w:tcBorders>
              <w:bottom w:val="nil"/>
            </w:tcBorders>
            <w:vAlign w:val="center"/>
          </w:tcPr>
          <w:p>
            <w:pPr>
              <w:spacing w:line="240" w:lineRule="exact"/>
              <w:rPr>
                <w:rFonts w:ascii="宋体" w:hAnsi="宋体" w:cs="宋体"/>
                <w:sz w:val="18"/>
                <w:szCs w:val="18"/>
              </w:rPr>
            </w:pPr>
            <w:r>
              <w:rPr>
                <w:rFonts w:hint="eastAsia" w:ascii="宋体" w:hAnsi="宋体" w:cs="宋体"/>
                <w:sz w:val="18"/>
                <w:szCs w:val="18"/>
              </w:rPr>
              <w:t>2.组织机构健全，管理科学规范(60分)</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2-1科室设置科学合理、职责明确，与其功能和任务相适应；至少急救、调度、车辆、办公室独立设置</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5</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查阅资料、随访</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应独立设置的每少1个或有1个职责不明确(或说不清)扣2分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bottom w:val="nil"/>
            </w:tcBorders>
            <w:vAlign w:val="center"/>
          </w:tcPr>
          <w:p>
            <w:pPr>
              <w:spacing w:line="240" w:lineRule="exact"/>
              <w:rPr>
                <w:rFonts w:ascii="宋体" w:hAnsi="宋体" w:cs="宋体"/>
                <w:sz w:val="18"/>
                <w:szCs w:val="18"/>
              </w:rPr>
            </w:pPr>
          </w:p>
        </w:tc>
        <w:tc>
          <w:tcPr>
            <w:tcW w:w="0" w:type="auto"/>
            <w:vAlign w:val="center"/>
          </w:tcPr>
          <w:p>
            <w:pPr>
              <w:spacing w:line="240" w:lineRule="exact"/>
              <w:rPr>
                <w:rFonts w:ascii="宋体" w:hAnsi="宋体" w:cs="宋体"/>
                <w:sz w:val="18"/>
                <w:szCs w:val="18"/>
              </w:rPr>
            </w:pPr>
          </w:p>
          <w:p>
            <w:pPr>
              <w:spacing w:line="240" w:lineRule="exact"/>
              <w:rPr>
                <w:rFonts w:ascii="宋体" w:hAnsi="宋体" w:cs="宋体"/>
                <w:sz w:val="18"/>
                <w:szCs w:val="18"/>
              </w:rPr>
            </w:pPr>
            <w:r>
              <w:rPr>
                <w:rFonts w:hint="eastAsia" w:ascii="宋体" w:hAnsi="宋体" w:cs="宋体"/>
                <w:sz w:val="18"/>
                <w:szCs w:val="18"/>
              </w:rPr>
              <w:t>2-2有建设发展规划、年度计划和总结</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5</w:t>
            </w:r>
          </w:p>
        </w:tc>
        <w:tc>
          <w:tcPr>
            <w:tcW w:w="0" w:type="auto"/>
            <w:vAlign w:val="center"/>
          </w:tcPr>
          <w:p>
            <w:pPr>
              <w:spacing w:line="240" w:lineRule="exact"/>
              <w:rPr>
                <w:rFonts w:ascii="宋体" w:hAnsi="宋体" w:cs="宋体"/>
                <w:sz w:val="18"/>
                <w:szCs w:val="18"/>
              </w:rPr>
            </w:pPr>
          </w:p>
          <w:p>
            <w:pPr>
              <w:spacing w:line="240" w:lineRule="exact"/>
              <w:rPr>
                <w:rFonts w:ascii="宋体" w:hAnsi="宋体" w:cs="宋体"/>
                <w:sz w:val="18"/>
                <w:szCs w:val="18"/>
              </w:rPr>
            </w:pPr>
            <w:r>
              <w:rPr>
                <w:rFonts w:hint="eastAsia" w:ascii="宋体" w:hAnsi="宋体" w:cs="宋体"/>
                <w:sz w:val="18"/>
                <w:szCs w:val="18"/>
              </w:rPr>
              <w:t>查阅资料、随访</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缺1项扣2分；内涵不符要求1项扣1.5分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tcBorders>
            <w:vAlign w:val="center"/>
          </w:tcPr>
          <w:p>
            <w:pPr>
              <w:spacing w:line="240" w:lineRule="exact"/>
              <w:rPr>
                <w:rFonts w:ascii="宋体" w:hAnsi="宋体" w:cs="宋体"/>
                <w:sz w:val="18"/>
                <w:szCs w:val="18"/>
              </w:rPr>
            </w:pPr>
          </w:p>
        </w:tc>
        <w:tc>
          <w:tcPr>
            <w:tcW w:w="0" w:type="auto"/>
            <w:vAlign w:val="center"/>
          </w:tcPr>
          <w:p>
            <w:pPr>
              <w:spacing w:line="240" w:lineRule="exact"/>
              <w:rPr>
                <w:rFonts w:ascii="宋体" w:hAnsi="宋体" w:cs="宋体"/>
                <w:sz w:val="18"/>
                <w:szCs w:val="18"/>
              </w:rPr>
            </w:pPr>
          </w:p>
          <w:p>
            <w:pPr>
              <w:spacing w:line="240" w:lineRule="exact"/>
              <w:rPr>
                <w:rFonts w:ascii="宋体" w:hAnsi="宋体" w:cs="宋体"/>
                <w:sz w:val="18"/>
                <w:szCs w:val="18"/>
              </w:rPr>
            </w:pPr>
          </w:p>
          <w:p>
            <w:pPr>
              <w:spacing w:line="240" w:lineRule="exact"/>
              <w:rPr>
                <w:rFonts w:ascii="宋体" w:hAnsi="宋体" w:cs="宋体"/>
                <w:sz w:val="18"/>
                <w:szCs w:val="18"/>
              </w:rPr>
            </w:pPr>
            <w:r>
              <w:rPr>
                <w:rFonts w:hint="eastAsia" w:ascii="宋体" w:hAnsi="宋体" w:cs="宋体"/>
                <w:sz w:val="18"/>
                <w:szCs w:val="18"/>
              </w:rPr>
              <w:t>2-3各项日常工作制度、岗位职责和工作流程健全、落实</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25</w:t>
            </w:r>
          </w:p>
        </w:tc>
        <w:tc>
          <w:tcPr>
            <w:tcW w:w="0" w:type="auto"/>
            <w:vAlign w:val="center"/>
          </w:tcPr>
          <w:p>
            <w:pPr>
              <w:spacing w:line="240" w:lineRule="exact"/>
              <w:rPr>
                <w:rFonts w:ascii="宋体" w:hAnsi="宋体" w:cs="宋体"/>
                <w:sz w:val="18"/>
                <w:szCs w:val="18"/>
              </w:rPr>
            </w:pPr>
          </w:p>
          <w:p>
            <w:pPr>
              <w:spacing w:line="240" w:lineRule="exact"/>
              <w:rPr>
                <w:rFonts w:ascii="宋体" w:hAnsi="宋体" w:cs="宋体"/>
                <w:sz w:val="18"/>
                <w:szCs w:val="18"/>
              </w:rPr>
            </w:pPr>
          </w:p>
          <w:p>
            <w:pPr>
              <w:spacing w:line="240" w:lineRule="exact"/>
              <w:rPr>
                <w:rFonts w:ascii="宋体" w:hAnsi="宋体" w:cs="宋体"/>
                <w:sz w:val="18"/>
                <w:szCs w:val="18"/>
              </w:rPr>
            </w:pPr>
            <w:r>
              <w:rPr>
                <w:rFonts w:hint="eastAsia" w:ascii="宋体" w:hAnsi="宋体" w:cs="宋体"/>
                <w:sz w:val="18"/>
                <w:szCs w:val="18"/>
              </w:rPr>
              <w:t>查阅资料、实地考察与随机抽问</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制度、职责、流程(3项)有1</w:t>
            </w:r>
          </w:p>
          <w:p>
            <w:pPr>
              <w:spacing w:line="240" w:lineRule="exact"/>
              <w:rPr>
                <w:rFonts w:ascii="宋体" w:hAnsi="宋体" w:cs="宋体"/>
                <w:sz w:val="18"/>
                <w:szCs w:val="18"/>
              </w:rPr>
            </w:pPr>
            <w:r>
              <w:rPr>
                <w:rFonts w:hint="eastAsia" w:ascii="宋体" w:hAnsi="宋体" w:cs="宋体"/>
                <w:sz w:val="18"/>
                <w:szCs w:val="18"/>
              </w:rPr>
              <w:t>项不健全扣5分；抽问5人，1人不熟悉扣3分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restart"/>
            <w:tcBorders>
              <w:bottom w:val="nil"/>
            </w:tcBorders>
            <w:vAlign w:val="center"/>
          </w:tcPr>
          <w:p>
            <w:pPr>
              <w:spacing w:line="240" w:lineRule="exact"/>
              <w:rPr>
                <w:rFonts w:ascii="宋体" w:hAnsi="宋体" w:cs="宋体"/>
                <w:sz w:val="18"/>
                <w:szCs w:val="18"/>
              </w:rPr>
            </w:pP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2-4固定资产管理、招投标工作符合规范要求，安全保卫工作责任制落实</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15</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查阅资料、实地察看与随访</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有1项不规范或不落实扣5分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tcBorders>
            <w:vAlign w:val="center"/>
          </w:tcPr>
          <w:p>
            <w:pPr>
              <w:spacing w:line="240" w:lineRule="exact"/>
              <w:rPr>
                <w:rFonts w:ascii="宋体" w:hAnsi="宋体" w:cs="宋体"/>
                <w:sz w:val="18"/>
                <w:szCs w:val="18"/>
              </w:rPr>
            </w:pP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2-5无医疗事故和车辆责任事故；有防范和处理预案并能落实</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10</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查阅资料、随访与抽问</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发现1起扣2分；每隐瞒1起扣10分；有1项无预案或有预案而未落实扣5分，落实不全扣2～3分(上述所有要求以扣完本条标准分50分为止)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restart"/>
            <w:tcBorders>
              <w:bottom w:val="nil"/>
            </w:tcBorders>
            <w:vAlign w:val="center"/>
          </w:tcPr>
          <w:p>
            <w:pPr>
              <w:spacing w:line="240" w:lineRule="exact"/>
              <w:rPr>
                <w:rFonts w:ascii="宋体" w:hAnsi="宋体" w:cs="宋体"/>
                <w:sz w:val="18"/>
                <w:szCs w:val="18"/>
              </w:rPr>
            </w:pPr>
            <w:r>
              <w:rPr>
                <w:rFonts w:hint="eastAsia" w:ascii="宋体" w:hAnsi="宋体" w:cs="宋体"/>
                <w:sz w:val="18"/>
                <w:szCs w:val="18"/>
              </w:rPr>
              <w:t>3.建筑要求符合建设标准(10分)</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3-1建筑面积不低于8000平方米</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5</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结合建筑图纸现场查验</w:t>
            </w:r>
          </w:p>
        </w:tc>
        <w:tc>
          <w:tcPr>
            <w:tcW w:w="0" w:type="auto"/>
          </w:tcPr>
          <w:p>
            <w:pPr>
              <w:spacing w:line="240" w:lineRule="exact"/>
              <w:rPr>
                <w:rFonts w:ascii="宋体" w:hAnsi="宋体" w:cs="宋体"/>
                <w:sz w:val="18"/>
                <w:szCs w:val="18"/>
              </w:rPr>
            </w:pPr>
            <w:r>
              <w:rPr>
                <w:rFonts w:hint="eastAsia" w:ascii="宋体" w:hAnsi="宋体" w:cs="宋体"/>
                <w:sz w:val="18"/>
                <w:szCs w:val="18"/>
              </w:rPr>
              <w:t>不符合标准不得分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tcBorders>
          </w:tcPr>
          <w:p>
            <w:pPr>
              <w:spacing w:line="240" w:lineRule="exact"/>
              <w:rPr>
                <w:rFonts w:ascii="宋体" w:hAnsi="宋体" w:cs="宋体"/>
                <w:sz w:val="18"/>
                <w:szCs w:val="18"/>
              </w:rPr>
            </w:pP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3-2建筑质量合格、功能布局合理、科学、实用</w:t>
            </w:r>
          </w:p>
        </w:tc>
        <w:tc>
          <w:tcPr>
            <w:tcW w:w="0" w:type="auto"/>
            <w:vAlign w:val="center"/>
          </w:tcPr>
          <w:p>
            <w:pPr>
              <w:spacing w:line="240" w:lineRule="exact"/>
              <w:jc w:val="center"/>
              <w:rPr>
                <w:rFonts w:ascii="宋体" w:hAnsi="宋体" w:cs="宋体"/>
                <w:sz w:val="18"/>
                <w:szCs w:val="18"/>
              </w:rPr>
            </w:pPr>
            <w:r>
              <w:rPr>
                <w:rFonts w:hint="eastAsia" w:ascii="宋体" w:hAnsi="宋体" w:cs="宋体"/>
                <w:sz w:val="18"/>
                <w:szCs w:val="18"/>
              </w:rPr>
              <w:t>5</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现场查验</w:t>
            </w:r>
          </w:p>
        </w:tc>
        <w:tc>
          <w:tcPr>
            <w:tcW w:w="0" w:type="auto"/>
            <w:vAlign w:val="center"/>
          </w:tcPr>
          <w:p>
            <w:pPr>
              <w:spacing w:line="240" w:lineRule="exact"/>
              <w:rPr>
                <w:rFonts w:ascii="宋体" w:hAnsi="宋体" w:cs="宋体"/>
                <w:sz w:val="18"/>
                <w:szCs w:val="18"/>
              </w:rPr>
            </w:pPr>
            <w:r>
              <w:rPr>
                <w:rFonts w:hint="eastAsia" w:ascii="宋体" w:hAnsi="宋体" w:cs="宋体"/>
                <w:sz w:val="18"/>
                <w:szCs w:val="18"/>
              </w:rPr>
              <w:t>不符合标准不得分</w:t>
            </w:r>
          </w:p>
        </w:tc>
      </w:tr>
    </w:tbl>
    <w:p>
      <w:pPr>
        <w:spacing w:line="319" w:lineRule="auto"/>
        <w:rPr>
          <w:rFonts w:ascii="Arial"/>
        </w:rPr>
      </w:pPr>
    </w:p>
    <w:p>
      <w:pPr>
        <w:spacing w:before="118" w:line="222" w:lineRule="auto"/>
        <w:jc w:val="left"/>
        <w:outlineLvl w:val="0"/>
        <w:rPr>
          <w:rFonts w:ascii="宋体" w:hAnsi="宋体" w:cs="宋体"/>
          <w:b/>
          <w:bCs/>
          <w:spacing w:val="-12"/>
        </w:rPr>
      </w:pPr>
      <w:r>
        <w:rPr>
          <w:rFonts w:hint="eastAsia"/>
          <w:sz w:val="20"/>
          <w:szCs w:val="20"/>
        </w:rPr>
        <w:t>5.2.6.2</w:t>
      </w:r>
      <w:r>
        <w:rPr>
          <w:rFonts w:hint="eastAsia" w:ascii="宋体" w:hAnsi="宋体" w:cs="宋体"/>
          <w:b/>
          <w:bCs/>
          <w:spacing w:val="-12"/>
        </w:rPr>
        <w:t>医疗技术150分</w:t>
      </w:r>
    </w:p>
    <w:tbl>
      <w:tblPr>
        <w:tblStyle w:val="2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05"/>
        <w:gridCol w:w="4730"/>
        <w:gridCol w:w="273"/>
        <w:gridCol w:w="1629"/>
        <w:gridCol w:w="17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Align w:val="center"/>
          </w:tcPr>
          <w:p>
            <w:pPr>
              <w:spacing w:line="240" w:lineRule="exact"/>
              <w:jc w:val="center"/>
              <w:rPr>
                <w:rFonts w:ascii="宋体" w:hAnsi="宋体" w:cs="宋体"/>
              </w:rPr>
            </w:pPr>
            <w:r>
              <w:rPr>
                <w:rFonts w:hint="eastAsia" w:ascii="宋体" w:hAnsi="宋体" w:cs="宋体"/>
              </w:rPr>
              <w:t>标准</w:t>
            </w:r>
          </w:p>
        </w:tc>
        <w:tc>
          <w:tcPr>
            <w:tcW w:w="0" w:type="auto"/>
            <w:vAlign w:val="center"/>
          </w:tcPr>
          <w:p>
            <w:pPr>
              <w:spacing w:line="240" w:lineRule="exact"/>
              <w:jc w:val="center"/>
              <w:rPr>
                <w:rFonts w:ascii="宋体" w:hAnsi="宋体" w:cs="宋体"/>
              </w:rPr>
            </w:pPr>
            <w:r>
              <w:rPr>
                <w:rFonts w:hint="eastAsia" w:ascii="宋体" w:hAnsi="宋体" w:cs="宋体"/>
              </w:rPr>
              <w:t>基本要求</w:t>
            </w:r>
          </w:p>
        </w:tc>
        <w:tc>
          <w:tcPr>
            <w:tcW w:w="0" w:type="auto"/>
            <w:vAlign w:val="center"/>
          </w:tcPr>
          <w:p>
            <w:pPr>
              <w:spacing w:line="240" w:lineRule="exact"/>
              <w:jc w:val="center"/>
              <w:rPr>
                <w:rFonts w:ascii="宋体" w:hAnsi="宋体" w:cs="宋体"/>
              </w:rPr>
            </w:pPr>
            <w:r>
              <w:rPr>
                <w:rFonts w:hint="eastAsia" w:ascii="宋体" w:hAnsi="宋体" w:cs="宋体"/>
              </w:rPr>
              <w:t>标准</w:t>
            </w:r>
          </w:p>
          <w:p>
            <w:pPr>
              <w:spacing w:line="240" w:lineRule="exact"/>
              <w:jc w:val="center"/>
              <w:rPr>
                <w:rFonts w:ascii="宋体" w:hAnsi="宋体" w:cs="宋体"/>
              </w:rPr>
            </w:pPr>
            <w:r>
              <w:rPr>
                <w:rFonts w:hint="eastAsia" w:ascii="宋体" w:hAnsi="宋体" w:cs="宋体"/>
              </w:rPr>
              <w:t>分</w:t>
            </w:r>
          </w:p>
        </w:tc>
        <w:tc>
          <w:tcPr>
            <w:tcW w:w="0" w:type="auto"/>
            <w:vAlign w:val="center"/>
          </w:tcPr>
          <w:p>
            <w:pPr>
              <w:spacing w:line="240" w:lineRule="exact"/>
              <w:jc w:val="center"/>
              <w:rPr>
                <w:rFonts w:ascii="宋体" w:hAnsi="宋体" w:cs="宋体"/>
              </w:rPr>
            </w:pPr>
            <w:r>
              <w:rPr>
                <w:rFonts w:hint="eastAsia" w:ascii="宋体" w:hAnsi="宋体" w:cs="宋体"/>
              </w:rPr>
              <w:t>考评方法</w:t>
            </w:r>
          </w:p>
        </w:tc>
        <w:tc>
          <w:tcPr>
            <w:tcW w:w="0" w:type="auto"/>
            <w:vAlign w:val="center"/>
          </w:tcPr>
          <w:p>
            <w:pPr>
              <w:spacing w:line="240" w:lineRule="exact"/>
              <w:jc w:val="center"/>
              <w:rPr>
                <w:rFonts w:ascii="宋体" w:hAnsi="宋体" w:cs="宋体"/>
              </w:rPr>
            </w:pPr>
            <w:r>
              <w:rPr>
                <w:rFonts w:hint="eastAsia" w:ascii="宋体" w:hAnsi="宋体" w:cs="宋体"/>
              </w:rPr>
              <w:t>扣分标准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Align w:val="center"/>
          </w:tcPr>
          <w:p>
            <w:pPr>
              <w:spacing w:line="240" w:lineRule="exact"/>
              <w:rPr>
                <w:rFonts w:ascii="宋体" w:hAnsi="宋体" w:cs="宋体"/>
              </w:rPr>
            </w:pPr>
            <w:r>
              <w:rPr>
                <w:rFonts w:hint="eastAsia" w:ascii="宋体" w:hAnsi="宋体" w:cs="宋体"/>
              </w:rPr>
              <w:t>1.开展技术项目符合标准(60分)</w:t>
            </w:r>
          </w:p>
        </w:tc>
        <w:tc>
          <w:tcPr>
            <w:tcW w:w="0" w:type="auto"/>
            <w:vAlign w:val="center"/>
          </w:tcPr>
          <w:p>
            <w:pPr>
              <w:spacing w:line="240" w:lineRule="exact"/>
              <w:rPr>
                <w:rFonts w:ascii="宋体" w:hAnsi="宋体" w:cs="宋体"/>
              </w:rPr>
            </w:pPr>
          </w:p>
          <w:p>
            <w:pPr>
              <w:spacing w:line="240" w:lineRule="exact"/>
              <w:rPr>
                <w:rFonts w:ascii="宋体" w:hAnsi="宋体" w:cs="宋体"/>
              </w:rPr>
            </w:pPr>
            <w:r>
              <w:rPr>
                <w:rFonts w:hint="eastAsia" w:ascii="宋体" w:hAnsi="宋体" w:cs="宋体"/>
              </w:rPr>
              <w:t>1-1能开展各项必备现场急救和途中救护医疗技术项目</w:t>
            </w:r>
          </w:p>
        </w:tc>
        <w:tc>
          <w:tcPr>
            <w:tcW w:w="0" w:type="auto"/>
            <w:vAlign w:val="center"/>
          </w:tcPr>
          <w:p>
            <w:pPr>
              <w:spacing w:line="240" w:lineRule="exact"/>
              <w:jc w:val="center"/>
              <w:rPr>
                <w:rFonts w:ascii="宋体" w:hAnsi="宋体" w:cs="宋体"/>
              </w:rPr>
            </w:pPr>
            <w:r>
              <w:rPr>
                <w:rFonts w:hint="eastAsia" w:ascii="宋体" w:hAnsi="宋体" w:cs="宋体"/>
              </w:rPr>
              <w:t>60</w:t>
            </w:r>
          </w:p>
        </w:tc>
        <w:tc>
          <w:tcPr>
            <w:tcW w:w="0" w:type="auto"/>
            <w:vAlign w:val="center"/>
          </w:tcPr>
          <w:p>
            <w:pPr>
              <w:spacing w:line="240" w:lineRule="exact"/>
              <w:rPr>
                <w:rFonts w:ascii="宋体" w:hAnsi="宋体" w:cs="宋体"/>
              </w:rPr>
            </w:pPr>
          </w:p>
          <w:p>
            <w:pPr>
              <w:spacing w:line="240" w:lineRule="exact"/>
              <w:rPr>
                <w:rFonts w:ascii="宋体" w:hAnsi="宋体" w:cs="宋体"/>
              </w:rPr>
            </w:pPr>
            <w:r>
              <w:rPr>
                <w:rFonts w:hint="eastAsia" w:ascii="宋体" w:hAnsi="宋体" w:cs="宋体"/>
              </w:rPr>
              <w:t>查阅资料、装备，随访及抽问</w:t>
            </w:r>
          </w:p>
        </w:tc>
        <w:tc>
          <w:tcPr>
            <w:tcW w:w="0" w:type="auto"/>
            <w:vAlign w:val="center"/>
          </w:tcPr>
          <w:p>
            <w:pPr>
              <w:spacing w:line="240" w:lineRule="exact"/>
              <w:rPr>
                <w:rFonts w:ascii="宋体" w:hAnsi="宋体" w:cs="宋体"/>
              </w:rPr>
            </w:pPr>
          </w:p>
          <w:p>
            <w:pPr>
              <w:spacing w:line="240" w:lineRule="exact"/>
              <w:rPr>
                <w:rFonts w:ascii="宋体" w:hAnsi="宋体" w:cs="宋体"/>
              </w:rPr>
            </w:pPr>
            <w:r>
              <w:rPr>
                <w:rFonts w:hint="eastAsia" w:ascii="宋体" w:hAnsi="宋体" w:cs="宋体"/>
              </w:rPr>
              <w:t>每少1项扣3分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Align w:val="center"/>
          </w:tcPr>
          <w:p>
            <w:pPr>
              <w:spacing w:line="240" w:lineRule="exact"/>
              <w:rPr>
                <w:rFonts w:ascii="宋体" w:hAnsi="宋体" w:cs="宋体"/>
              </w:rPr>
            </w:pPr>
            <w:r>
              <w:rPr>
                <w:rFonts w:hint="eastAsia" w:ascii="宋体" w:hAnsi="宋体" w:cs="宋体"/>
              </w:rPr>
              <w:t>2.急救技组操作熟振(50分)</w:t>
            </w:r>
          </w:p>
        </w:tc>
        <w:tc>
          <w:tcPr>
            <w:tcW w:w="0" w:type="auto"/>
            <w:vAlign w:val="center"/>
          </w:tcPr>
          <w:p>
            <w:pPr>
              <w:spacing w:line="240" w:lineRule="exact"/>
              <w:rPr>
                <w:rFonts w:ascii="宋体" w:hAnsi="宋体" w:cs="宋体"/>
              </w:rPr>
            </w:pPr>
            <w:r>
              <w:rPr>
                <w:rFonts w:hint="eastAsia" w:ascii="宋体" w:hAnsi="宋体" w:cs="宋体"/>
              </w:rPr>
              <w:t>2-1止血、包扎、固定、搬运；静脉穿刺、环甲膜穿刺、吸痰；心电图、监护仪、除颤器、呼吸机应用；常见心电图识别、心肺复苏、气管插管、体表起搏、面罩给氧等技术操作热练</w:t>
            </w:r>
          </w:p>
        </w:tc>
        <w:tc>
          <w:tcPr>
            <w:tcW w:w="0" w:type="auto"/>
            <w:vAlign w:val="center"/>
          </w:tcPr>
          <w:p>
            <w:pPr>
              <w:spacing w:line="240" w:lineRule="exact"/>
              <w:jc w:val="center"/>
              <w:rPr>
                <w:rFonts w:ascii="宋体" w:hAnsi="宋体" w:cs="宋体"/>
              </w:rPr>
            </w:pPr>
            <w:r>
              <w:rPr>
                <w:rFonts w:hint="eastAsia" w:ascii="宋体" w:hAnsi="宋体" w:cs="宋体"/>
              </w:rPr>
              <w:t>50</w:t>
            </w:r>
          </w:p>
        </w:tc>
        <w:tc>
          <w:tcPr>
            <w:tcW w:w="0" w:type="auto"/>
            <w:vAlign w:val="center"/>
          </w:tcPr>
          <w:p>
            <w:pPr>
              <w:spacing w:line="240" w:lineRule="exact"/>
              <w:rPr>
                <w:rFonts w:ascii="宋体" w:hAnsi="宋体" w:cs="宋体"/>
              </w:rPr>
            </w:pPr>
          </w:p>
          <w:p>
            <w:pPr>
              <w:spacing w:line="240" w:lineRule="exact"/>
              <w:rPr>
                <w:rFonts w:ascii="宋体" w:hAnsi="宋体" w:cs="宋体"/>
              </w:rPr>
            </w:pPr>
            <w:r>
              <w:rPr>
                <w:rFonts w:hint="eastAsia" w:ascii="宋体" w:hAnsi="宋体" w:cs="宋体"/>
              </w:rPr>
              <w:t>多种形式随机抽考(不少于10名，每名每类不少于1项)</w:t>
            </w:r>
          </w:p>
        </w:tc>
        <w:tc>
          <w:tcPr>
            <w:tcW w:w="0" w:type="auto"/>
            <w:vAlign w:val="center"/>
          </w:tcPr>
          <w:p>
            <w:pPr>
              <w:spacing w:line="240" w:lineRule="exact"/>
              <w:rPr>
                <w:rFonts w:ascii="宋体" w:hAnsi="宋体" w:cs="宋体"/>
              </w:rPr>
            </w:pPr>
            <w:r>
              <w:rPr>
                <w:rFonts w:hint="eastAsia" w:ascii="宋体" w:hAnsi="宋体" w:cs="宋体"/>
              </w:rPr>
              <w:t>1人1项不会做或做不对扣5分；不熟练扣2.5分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3.技术管理规范(40分)</w:t>
            </w:r>
          </w:p>
        </w:tc>
        <w:tc>
          <w:tcPr>
            <w:tcW w:w="0" w:type="auto"/>
            <w:vAlign w:val="center"/>
          </w:tcPr>
          <w:p>
            <w:pPr>
              <w:spacing w:line="240" w:lineRule="exact"/>
              <w:rPr>
                <w:rFonts w:ascii="宋体" w:hAnsi="宋体" w:cs="宋体"/>
              </w:rPr>
            </w:pPr>
            <w:r>
              <w:rPr>
                <w:rFonts w:hint="eastAsia" w:ascii="宋体" w:hAnsi="宋体" w:cs="宋体"/>
              </w:rPr>
              <w:t>3-1急救病历格式统一、规范(见《急救医疗中心(站)建设管理规范》),合格率在90%以上</w:t>
            </w:r>
          </w:p>
        </w:tc>
        <w:tc>
          <w:tcPr>
            <w:tcW w:w="0" w:type="auto"/>
            <w:vAlign w:val="center"/>
          </w:tcPr>
          <w:p>
            <w:pPr>
              <w:spacing w:line="240" w:lineRule="exact"/>
              <w:jc w:val="center"/>
              <w:rPr>
                <w:rFonts w:ascii="宋体" w:hAnsi="宋体" w:cs="宋体"/>
              </w:rPr>
            </w:pPr>
            <w:r>
              <w:rPr>
                <w:rFonts w:hint="eastAsia" w:ascii="宋体" w:hAnsi="宋体" w:cs="宋体"/>
              </w:rPr>
              <w:t>20</w:t>
            </w:r>
          </w:p>
        </w:tc>
        <w:tc>
          <w:tcPr>
            <w:tcW w:w="0" w:type="auto"/>
            <w:vAlign w:val="center"/>
          </w:tcPr>
          <w:p>
            <w:pPr>
              <w:spacing w:line="240" w:lineRule="exact"/>
              <w:rPr>
                <w:rFonts w:ascii="宋体" w:hAnsi="宋体" w:cs="宋体"/>
              </w:rPr>
            </w:pPr>
            <w:r>
              <w:rPr>
                <w:rFonts w:hint="eastAsia" w:ascii="宋体" w:hAnsi="宋体" w:cs="宋体"/>
              </w:rPr>
              <w:t>查阅病历50份</w:t>
            </w:r>
          </w:p>
        </w:tc>
        <w:tc>
          <w:tcPr>
            <w:tcW w:w="0" w:type="auto"/>
            <w:vAlign w:val="center"/>
          </w:tcPr>
          <w:p>
            <w:pPr>
              <w:spacing w:line="240" w:lineRule="exact"/>
              <w:rPr>
                <w:rFonts w:ascii="宋体" w:hAnsi="宋体" w:cs="宋体"/>
              </w:rPr>
            </w:pPr>
            <w:r>
              <w:rPr>
                <w:rFonts w:hint="eastAsia" w:ascii="宋体" w:hAnsi="宋体" w:cs="宋体"/>
              </w:rPr>
              <w:t>90%以下有1份不合格扣3分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bottom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3-2现场和转运途中急救处理率(不含转院、送回家)80%以上、处理正确率100%</w:t>
            </w:r>
          </w:p>
        </w:tc>
        <w:tc>
          <w:tcPr>
            <w:tcW w:w="0" w:type="auto"/>
            <w:vAlign w:val="center"/>
          </w:tcPr>
          <w:p>
            <w:pPr>
              <w:spacing w:line="240" w:lineRule="exact"/>
              <w:jc w:val="center"/>
              <w:rPr>
                <w:rFonts w:ascii="宋体" w:hAnsi="宋体" w:cs="宋体"/>
              </w:rPr>
            </w:pPr>
          </w:p>
          <w:p>
            <w:pPr>
              <w:spacing w:line="240" w:lineRule="exact"/>
              <w:jc w:val="center"/>
              <w:rPr>
                <w:rFonts w:ascii="宋体" w:hAnsi="宋体" w:cs="宋体"/>
              </w:rPr>
            </w:pPr>
          </w:p>
          <w:p>
            <w:pPr>
              <w:spacing w:line="240" w:lineRule="exact"/>
              <w:jc w:val="center"/>
              <w:rPr>
                <w:rFonts w:ascii="宋体" w:hAnsi="宋体" w:cs="宋体"/>
              </w:rPr>
            </w:pPr>
          </w:p>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p>
          <w:p>
            <w:pPr>
              <w:spacing w:line="240" w:lineRule="exact"/>
              <w:rPr>
                <w:rFonts w:ascii="宋体" w:hAnsi="宋体" w:cs="宋体"/>
              </w:rPr>
            </w:pPr>
            <w:r>
              <w:rPr>
                <w:rFonts w:hint="eastAsia" w:ascii="宋体" w:hAnsi="宋体" w:cs="宋体"/>
              </w:rPr>
              <w:t>查阅病历、问卷函调与家庭随访</w:t>
            </w:r>
          </w:p>
        </w:tc>
        <w:tc>
          <w:tcPr>
            <w:tcW w:w="0" w:type="auto"/>
            <w:vAlign w:val="center"/>
          </w:tcPr>
          <w:p>
            <w:pPr>
              <w:spacing w:line="240" w:lineRule="exact"/>
              <w:rPr>
                <w:rFonts w:ascii="宋体" w:hAnsi="宋体" w:cs="宋体"/>
              </w:rPr>
            </w:pPr>
            <w:r>
              <w:rPr>
                <w:rFonts w:hint="eastAsia" w:ascii="宋体" w:hAnsi="宋体" w:cs="宋体"/>
              </w:rPr>
              <w:t>每下降1%扣2分；发现1例病历与函调或家访不符合扣5分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3-3医护人员具备执业资质</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查阅资料、随访或问卷调查</w:t>
            </w:r>
          </w:p>
        </w:tc>
        <w:tc>
          <w:tcPr>
            <w:tcW w:w="0" w:type="auto"/>
            <w:vAlign w:val="center"/>
          </w:tcPr>
          <w:p>
            <w:pPr>
              <w:spacing w:line="240" w:lineRule="exact"/>
              <w:rPr>
                <w:rFonts w:ascii="宋体" w:hAnsi="宋体" w:cs="宋体"/>
              </w:rPr>
            </w:pPr>
            <w:r>
              <w:rPr>
                <w:rFonts w:hint="eastAsia" w:ascii="宋体" w:hAnsi="宋体" w:cs="宋体"/>
              </w:rPr>
              <w:t>发现违规不得分</w:t>
            </w:r>
          </w:p>
        </w:tc>
      </w:tr>
    </w:tbl>
    <w:p>
      <w:pPr>
        <w:spacing w:line="240" w:lineRule="exact"/>
        <w:rPr>
          <w:rFonts w:ascii="宋体" w:hAnsi="宋体" w:cs="宋体"/>
        </w:rPr>
      </w:pPr>
    </w:p>
    <w:p>
      <w:pPr>
        <w:spacing w:line="240" w:lineRule="exact"/>
        <w:rPr>
          <w:rFonts w:ascii="宋体" w:hAnsi="宋体" w:cs="宋体"/>
        </w:rPr>
      </w:pPr>
    </w:p>
    <w:p>
      <w:pPr>
        <w:spacing w:before="118" w:line="222" w:lineRule="auto"/>
        <w:jc w:val="left"/>
        <w:outlineLvl w:val="0"/>
        <w:rPr>
          <w:rFonts w:ascii="宋体" w:hAnsi="宋体" w:cs="宋体"/>
          <w:b/>
          <w:bCs/>
          <w:spacing w:val="-12"/>
        </w:rPr>
      </w:pPr>
      <w:r>
        <w:rPr>
          <w:rFonts w:hint="eastAsia"/>
          <w:sz w:val="20"/>
          <w:szCs w:val="20"/>
        </w:rPr>
        <w:t>5.2.6.3</w:t>
      </w:r>
      <w:r>
        <w:rPr>
          <w:rFonts w:hint="eastAsia" w:ascii="宋体" w:hAnsi="宋体" w:cs="宋体"/>
          <w:b/>
          <w:bCs/>
          <w:spacing w:val="-12"/>
        </w:rPr>
        <w:t>队伍建设160分</w:t>
      </w:r>
    </w:p>
    <w:p>
      <w:pPr>
        <w:spacing w:line="240" w:lineRule="exact"/>
        <w:rPr>
          <w:rFonts w:ascii="宋体" w:hAnsi="宋体" w:cs="宋体"/>
        </w:rPr>
      </w:pPr>
    </w:p>
    <w:tbl>
      <w:tblPr>
        <w:tblStyle w:val="238"/>
        <w:tblW w:w="935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17"/>
        <w:gridCol w:w="4061"/>
        <w:gridCol w:w="272"/>
        <w:gridCol w:w="1205"/>
        <w:gridCol w:w="25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Align w:val="center"/>
          </w:tcPr>
          <w:p>
            <w:pPr>
              <w:spacing w:line="240" w:lineRule="exact"/>
              <w:jc w:val="center"/>
              <w:rPr>
                <w:rFonts w:ascii="宋体" w:hAnsi="宋体" w:cs="宋体"/>
              </w:rPr>
            </w:pPr>
            <w:r>
              <w:rPr>
                <w:rFonts w:hint="eastAsia" w:ascii="宋体" w:hAnsi="宋体" w:cs="宋体"/>
              </w:rPr>
              <w:t>标准</w:t>
            </w:r>
          </w:p>
        </w:tc>
        <w:tc>
          <w:tcPr>
            <w:tcW w:w="0" w:type="auto"/>
            <w:vAlign w:val="center"/>
          </w:tcPr>
          <w:p>
            <w:pPr>
              <w:spacing w:line="240" w:lineRule="exact"/>
              <w:jc w:val="center"/>
              <w:rPr>
                <w:rFonts w:ascii="宋体" w:hAnsi="宋体" w:cs="宋体"/>
              </w:rPr>
            </w:pPr>
            <w:r>
              <w:rPr>
                <w:rFonts w:hint="eastAsia" w:ascii="宋体" w:hAnsi="宋体" w:cs="宋体"/>
              </w:rPr>
              <w:t>基本要求</w:t>
            </w:r>
          </w:p>
        </w:tc>
        <w:tc>
          <w:tcPr>
            <w:tcW w:w="0" w:type="auto"/>
            <w:vAlign w:val="center"/>
          </w:tcPr>
          <w:p>
            <w:pPr>
              <w:spacing w:line="240" w:lineRule="exact"/>
              <w:jc w:val="center"/>
              <w:rPr>
                <w:rFonts w:ascii="宋体" w:hAnsi="宋体" w:cs="宋体"/>
              </w:rPr>
            </w:pPr>
            <w:r>
              <w:rPr>
                <w:rFonts w:hint="eastAsia" w:ascii="宋体" w:hAnsi="宋体" w:cs="宋体"/>
              </w:rPr>
              <w:t>标准</w:t>
            </w:r>
          </w:p>
          <w:p>
            <w:pPr>
              <w:spacing w:line="240" w:lineRule="exact"/>
              <w:jc w:val="center"/>
              <w:rPr>
                <w:rFonts w:ascii="宋体" w:hAnsi="宋体" w:cs="宋体"/>
              </w:rPr>
            </w:pPr>
            <w:r>
              <w:rPr>
                <w:rFonts w:hint="eastAsia" w:ascii="宋体" w:hAnsi="宋体" w:cs="宋体"/>
              </w:rPr>
              <w:t>分</w:t>
            </w:r>
          </w:p>
        </w:tc>
        <w:tc>
          <w:tcPr>
            <w:tcW w:w="0" w:type="auto"/>
            <w:vAlign w:val="center"/>
          </w:tcPr>
          <w:p>
            <w:pPr>
              <w:spacing w:line="240" w:lineRule="exact"/>
              <w:jc w:val="center"/>
              <w:rPr>
                <w:rFonts w:ascii="宋体" w:hAnsi="宋体" w:cs="宋体"/>
              </w:rPr>
            </w:pPr>
            <w:r>
              <w:rPr>
                <w:rFonts w:hint="eastAsia" w:ascii="宋体" w:hAnsi="宋体" w:cs="宋体"/>
              </w:rPr>
              <w:t>考评方法</w:t>
            </w:r>
          </w:p>
        </w:tc>
        <w:tc>
          <w:tcPr>
            <w:tcW w:w="0" w:type="auto"/>
            <w:vAlign w:val="center"/>
          </w:tcPr>
          <w:p>
            <w:pPr>
              <w:spacing w:line="240" w:lineRule="exact"/>
              <w:jc w:val="center"/>
              <w:rPr>
                <w:rFonts w:ascii="宋体" w:hAnsi="宋体" w:cs="宋体"/>
              </w:rPr>
            </w:pPr>
            <w:r>
              <w:rPr>
                <w:rFonts w:hint="eastAsia" w:ascii="宋体" w:hAnsi="宋体" w:cs="宋体"/>
              </w:rPr>
              <w:t>扣分标准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0" w:hRule="atLeast"/>
        </w:trPr>
        <w:tc>
          <w:tcPr>
            <w:tcW w:w="0" w:type="auto"/>
            <w:vAlign w:val="center"/>
          </w:tcPr>
          <w:p>
            <w:pPr>
              <w:spacing w:line="240" w:lineRule="exact"/>
              <w:rPr>
                <w:rFonts w:ascii="宋体" w:hAnsi="宋体" w:cs="宋体"/>
              </w:rPr>
            </w:pPr>
            <w:r>
              <w:rPr>
                <w:rFonts w:hint="eastAsia" w:ascii="宋体" w:hAnsi="宋体" w:cs="宋体"/>
              </w:rPr>
              <w:t>1.人员结构合理，适应功能求(50分)</w:t>
            </w:r>
          </w:p>
        </w:tc>
        <w:tc>
          <w:tcPr>
            <w:tcW w:w="0" w:type="auto"/>
            <w:vAlign w:val="center"/>
          </w:tcPr>
          <w:p>
            <w:pPr>
              <w:spacing w:line="240" w:lineRule="exact"/>
              <w:rPr>
                <w:rFonts w:ascii="宋体" w:hAnsi="宋体" w:cs="宋体"/>
              </w:rPr>
            </w:pPr>
            <w:r>
              <w:rPr>
                <w:rFonts w:hint="eastAsia" w:ascii="宋体" w:hAnsi="宋体" w:cs="宋体"/>
              </w:rPr>
              <w:t>1-1医生45周岁以下具有本科及其以上学历的占85%以上；护士40周岁以下具有大专及其以上学历的占30%以上</w:t>
            </w:r>
          </w:p>
        </w:tc>
        <w:tc>
          <w:tcPr>
            <w:tcW w:w="0" w:type="auto"/>
            <w:vAlign w:val="center"/>
          </w:tcPr>
          <w:p>
            <w:pPr>
              <w:spacing w:line="240" w:lineRule="exact"/>
              <w:jc w:val="center"/>
              <w:rPr>
                <w:rFonts w:ascii="宋体" w:hAnsi="宋体" w:cs="宋体"/>
              </w:rPr>
            </w:pPr>
            <w:r>
              <w:rPr>
                <w:rFonts w:hint="eastAsia" w:ascii="宋体" w:hAnsi="宋体" w:cs="宋体"/>
              </w:rPr>
              <w:t>20</w:t>
            </w:r>
          </w:p>
        </w:tc>
        <w:tc>
          <w:tcPr>
            <w:tcW w:w="0" w:type="auto"/>
            <w:vAlign w:val="center"/>
          </w:tcPr>
          <w:p>
            <w:pPr>
              <w:spacing w:line="240" w:lineRule="exact"/>
              <w:rPr>
                <w:rFonts w:ascii="宋体" w:hAnsi="宋体" w:cs="宋体"/>
              </w:rPr>
            </w:pPr>
            <w:r>
              <w:rPr>
                <w:rFonts w:hint="eastAsia" w:ascii="宋体" w:hAnsi="宋体" w:cs="宋体"/>
              </w:rPr>
              <w:t>查阅资料、学历证书，结合随访</w:t>
            </w:r>
          </w:p>
        </w:tc>
        <w:tc>
          <w:tcPr>
            <w:tcW w:w="0" w:type="auto"/>
            <w:vAlign w:val="center"/>
          </w:tcPr>
          <w:p>
            <w:pPr>
              <w:spacing w:line="240" w:lineRule="exact"/>
              <w:rPr>
                <w:rFonts w:ascii="宋体" w:hAnsi="宋体" w:cs="宋体"/>
              </w:rPr>
            </w:pPr>
            <w:r>
              <w:rPr>
                <w:rFonts w:hint="eastAsia" w:ascii="宋体" w:hAnsi="宋体" w:cs="宋体"/>
              </w:rPr>
              <w:t>85%以下有1人学历不达标扣5分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restart"/>
            <w:tcBorders>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1-2驾驶员全部具有高中以上学历；参加相关急救培训；经考核合格</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查阅资料、学历证书，结合随访</w:t>
            </w:r>
          </w:p>
        </w:tc>
        <w:tc>
          <w:tcPr>
            <w:tcW w:w="0" w:type="auto"/>
            <w:vAlign w:val="center"/>
          </w:tcPr>
          <w:p>
            <w:pPr>
              <w:spacing w:line="240" w:lineRule="exact"/>
              <w:rPr>
                <w:rFonts w:ascii="宋体" w:hAnsi="宋体" w:cs="宋体"/>
              </w:rPr>
            </w:pPr>
            <w:r>
              <w:rPr>
                <w:rFonts w:hint="eastAsia" w:ascii="宋体" w:hAnsi="宋体" w:cs="宋体"/>
              </w:rPr>
              <w:t>3项，缺任何1项属不达标，发现1名不达标扣2分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1-3调度员大专以上学历占85%以上；有初级英语会话能力</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查阅资料、学历证书及实地考察</w:t>
            </w:r>
          </w:p>
        </w:tc>
        <w:tc>
          <w:tcPr>
            <w:tcW w:w="0" w:type="auto"/>
            <w:vAlign w:val="center"/>
          </w:tcPr>
          <w:p>
            <w:pPr>
              <w:spacing w:line="240" w:lineRule="exact"/>
              <w:rPr>
                <w:rFonts w:ascii="宋体" w:hAnsi="宋体" w:cs="宋体"/>
              </w:rPr>
            </w:pPr>
            <w:r>
              <w:rPr>
                <w:rFonts w:hint="eastAsia" w:ascii="宋体" w:hAnsi="宋体" w:cs="宋体"/>
              </w:rPr>
              <w:t>学历每下降1个百分点扣2分；英语会话能力1人不合格扣0.5分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1-4一线医、护、驾、调人员占总人数65%以上(按每4万人口一辆车，每车1医、1护、1驾、1担配备)</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查阅资料，结合实地随访抽查复核</w:t>
            </w:r>
          </w:p>
        </w:tc>
        <w:tc>
          <w:tcPr>
            <w:tcW w:w="0" w:type="auto"/>
            <w:vAlign w:val="center"/>
          </w:tcPr>
          <w:p>
            <w:pPr>
              <w:spacing w:line="240" w:lineRule="exact"/>
              <w:rPr>
                <w:rFonts w:ascii="宋体" w:hAnsi="宋体" w:cs="宋体"/>
              </w:rPr>
            </w:pPr>
            <w:r>
              <w:rPr>
                <w:rFonts w:hint="eastAsia" w:ascii="宋体" w:hAnsi="宋体" w:cs="宋体"/>
              </w:rPr>
              <w:t>每下降1个百分点扣1分；复核有1人与资料不符扣10分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restart"/>
            <w:vAlign w:val="center"/>
          </w:tcPr>
          <w:p>
            <w:pPr>
              <w:spacing w:line="240" w:lineRule="exact"/>
              <w:rPr>
                <w:rFonts w:ascii="宋体" w:hAnsi="宋体" w:cs="宋体"/>
              </w:rPr>
            </w:pPr>
            <w:r>
              <w:rPr>
                <w:rFonts w:hint="eastAsia" w:ascii="宋体" w:hAnsi="宋体" w:cs="宋体"/>
              </w:rPr>
              <w:t>2.继续教育规范、整体素质良好(85分)</w:t>
            </w:r>
          </w:p>
        </w:tc>
        <w:tc>
          <w:tcPr>
            <w:tcW w:w="0" w:type="auto"/>
            <w:vAlign w:val="center"/>
          </w:tcPr>
          <w:p>
            <w:pPr>
              <w:spacing w:line="240" w:lineRule="exact"/>
              <w:rPr>
                <w:rFonts w:ascii="宋体" w:hAnsi="宋体" w:cs="宋体"/>
              </w:rPr>
            </w:pPr>
            <w:r>
              <w:rPr>
                <w:rFonts w:hint="eastAsia" w:ascii="宋体" w:hAnsi="宋体" w:cs="宋体"/>
              </w:rPr>
              <w:t>2-1有各类人员继续教育规划(或大纲)和年度计划并能组织实施和落实</w:t>
            </w:r>
          </w:p>
        </w:tc>
        <w:tc>
          <w:tcPr>
            <w:tcW w:w="0" w:type="auto"/>
            <w:vAlign w:val="center"/>
          </w:tcPr>
          <w:p>
            <w:pPr>
              <w:spacing w:line="240" w:lineRule="exact"/>
              <w:jc w:val="center"/>
              <w:rPr>
                <w:rFonts w:ascii="宋体" w:hAnsi="宋体" w:cs="宋体"/>
              </w:rPr>
            </w:pPr>
            <w:r>
              <w:rPr>
                <w:rFonts w:hint="eastAsia" w:ascii="宋体" w:hAnsi="宋体" w:cs="宋体"/>
              </w:rPr>
              <w:t>20</w:t>
            </w:r>
          </w:p>
        </w:tc>
        <w:tc>
          <w:tcPr>
            <w:tcW w:w="0" w:type="auto"/>
            <w:vAlign w:val="center"/>
          </w:tcPr>
          <w:p>
            <w:pPr>
              <w:spacing w:line="240" w:lineRule="exact"/>
              <w:rPr>
                <w:rFonts w:ascii="宋体" w:hAnsi="宋体" w:cs="宋体"/>
              </w:rPr>
            </w:pPr>
            <w:r>
              <w:rPr>
                <w:rFonts w:hint="eastAsia" w:ascii="宋体" w:hAnsi="宋体" w:cs="宋体"/>
              </w:rPr>
              <w:t>查阅资料，结合随访、座谈或问卷调查</w:t>
            </w:r>
          </w:p>
        </w:tc>
        <w:tc>
          <w:tcPr>
            <w:tcW w:w="0" w:type="auto"/>
            <w:vAlign w:val="center"/>
          </w:tcPr>
          <w:p>
            <w:pPr>
              <w:spacing w:line="240" w:lineRule="exact"/>
              <w:rPr>
                <w:rFonts w:ascii="宋体" w:hAnsi="宋体" w:cs="宋体"/>
              </w:rPr>
            </w:pPr>
            <w:r>
              <w:rPr>
                <w:rFonts w:hint="eastAsia" w:ascii="宋体" w:hAnsi="宋体" w:cs="宋体"/>
              </w:rPr>
              <w:t>缺1类人员规划(大纲)或计划扣4分；有而未实施，1类扣4分；实施不全，1类扣2分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2-2继续教育内容全面，涵盖：(1)相关法律、法规、规章、规范、伦理道德等；(2)各种管理与业务预案、方案、常规等；(3)基本理论、基本知识与基本技能</w:t>
            </w:r>
          </w:p>
        </w:tc>
        <w:tc>
          <w:tcPr>
            <w:tcW w:w="0" w:type="auto"/>
            <w:vAlign w:val="center"/>
          </w:tcPr>
          <w:p>
            <w:pPr>
              <w:spacing w:line="240" w:lineRule="exact"/>
              <w:jc w:val="center"/>
              <w:rPr>
                <w:rFonts w:ascii="宋体" w:hAnsi="宋体" w:cs="宋体"/>
              </w:rPr>
            </w:pPr>
            <w:r>
              <w:rPr>
                <w:rFonts w:hint="eastAsia" w:ascii="宋体" w:hAnsi="宋体" w:cs="宋体"/>
              </w:rPr>
              <w:t>15</w:t>
            </w:r>
          </w:p>
        </w:tc>
        <w:tc>
          <w:tcPr>
            <w:tcW w:w="0" w:type="auto"/>
            <w:vAlign w:val="center"/>
          </w:tcPr>
          <w:p>
            <w:pPr>
              <w:spacing w:line="240" w:lineRule="exact"/>
              <w:rPr>
                <w:rFonts w:ascii="宋体" w:hAnsi="宋体" w:cs="宋体"/>
              </w:rPr>
            </w:pPr>
            <w:r>
              <w:rPr>
                <w:rFonts w:hint="eastAsia" w:ascii="宋体" w:hAnsi="宋体" w:cs="宋体"/>
              </w:rPr>
              <w:t>查阅资料，结合随访、座谈或问卷调查</w:t>
            </w:r>
          </w:p>
        </w:tc>
        <w:tc>
          <w:tcPr>
            <w:tcW w:w="0" w:type="auto"/>
            <w:vAlign w:val="center"/>
          </w:tcPr>
          <w:p>
            <w:pPr>
              <w:spacing w:line="240" w:lineRule="exact"/>
              <w:rPr>
                <w:rFonts w:ascii="宋体" w:hAnsi="宋体" w:cs="宋体"/>
              </w:rPr>
            </w:pPr>
            <w:r>
              <w:rPr>
                <w:rFonts w:hint="eastAsia" w:ascii="宋体" w:hAnsi="宋体" w:cs="宋体"/>
              </w:rPr>
              <w:t>缺1类扣5分；每类不全扣2.5分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2-3每年2次考核与操作演练，相关制度健全落实</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查阅资料，结合随访、座谈或问卷调查</w:t>
            </w:r>
          </w:p>
        </w:tc>
        <w:tc>
          <w:tcPr>
            <w:tcW w:w="0" w:type="auto"/>
            <w:vAlign w:val="center"/>
          </w:tcPr>
          <w:p>
            <w:pPr>
              <w:spacing w:line="240" w:lineRule="exact"/>
              <w:rPr>
                <w:rFonts w:ascii="宋体" w:hAnsi="宋体" w:cs="宋体"/>
              </w:rPr>
            </w:pPr>
            <w:r>
              <w:rPr>
                <w:rFonts w:hint="eastAsia" w:ascii="宋体" w:hAnsi="宋体" w:cs="宋体"/>
              </w:rPr>
              <w:t>无制度或有制度未落实不得分；落实不全扣5分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2-4各类人员接受继续教育率100%。考核合格率&gt;95%</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查阅资料、抽查考核</w:t>
            </w:r>
          </w:p>
        </w:tc>
        <w:tc>
          <w:tcPr>
            <w:tcW w:w="0" w:type="auto"/>
            <w:vAlign w:val="center"/>
          </w:tcPr>
          <w:p>
            <w:pPr>
              <w:spacing w:line="240" w:lineRule="exact"/>
              <w:rPr>
                <w:rFonts w:ascii="宋体" w:hAnsi="宋体" w:cs="宋体"/>
              </w:rPr>
            </w:pPr>
            <w:r>
              <w:rPr>
                <w:rFonts w:hint="eastAsia" w:ascii="宋体" w:hAnsi="宋体" w:cs="宋体"/>
              </w:rPr>
              <w:t>1项不达标扣5分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2-5急救医、护人员“三基”训练考试合格率100%</w:t>
            </w:r>
          </w:p>
        </w:tc>
        <w:tc>
          <w:tcPr>
            <w:tcW w:w="0" w:type="auto"/>
            <w:vAlign w:val="center"/>
          </w:tcPr>
          <w:p>
            <w:pPr>
              <w:spacing w:line="240" w:lineRule="exact"/>
              <w:jc w:val="center"/>
              <w:rPr>
                <w:rFonts w:ascii="宋体" w:hAnsi="宋体" w:cs="宋体"/>
              </w:rPr>
            </w:pPr>
            <w:r>
              <w:rPr>
                <w:rFonts w:hint="eastAsia" w:ascii="宋体" w:hAnsi="宋体" w:cs="宋体"/>
              </w:rPr>
              <w:t>20</w:t>
            </w:r>
          </w:p>
        </w:tc>
        <w:tc>
          <w:tcPr>
            <w:tcW w:w="0" w:type="auto"/>
            <w:vAlign w:val="center"/>
          </w:tcPr>
          <w:p>
            <w:pPr>
              <w:spacing w:line="240" w:lineRule="exact"/>
              <w:rPr>
                <w:rFonts w:ascii="宋体" w:hAnsi="宋体" w:cs="宋体"/>
              </w:rPr>
            </w:pPr>
            <w:r>
              <w:rPr>
                <w:rFonts w:hint="eastAsia" w:ascii="宋体" w:hAnsi="宋体" w:cs="宋体"/>
              </w:rPr>
              <w:t>查阅资料，随机抽考10名</w:t>
            </w:r>
          </w:p>
        </w:tc>
        <w:tc>
          <w:tcPr>
            <w:tcW w:w="0" w:type="auto"/>
            <w:vAlign w:val="center"/>
          </w:tcPr>
          <w:p>
            <w:pPr>
              <w:spacing w:line="240" w:lineRule="exact"/>
              <w:rPr>
                <w:rFonts w:ascii="宋体" w:hAnsi="宋体" w:cs="宋体"/>
              </w:rPr>
            </w:pPr>
            <w:r>
              <w:rPr>
                <w:rFonts w:hint="eastAsia" w:ascii="宋体" w:hAnsi="宋体" w:cs="宋体"/>
              </w:rPr>
              <w:t>80分为合格，1人不合格扣</w:t>
            </w:r>
          </w:p>
          <w:p>
            <w:pPr>
              <w:spacing w:line="240" w:lineRule="exact"/>
              <w:rPr>
                <w:rFonts w:ascii="宋体" w:hAnsi="宋体" w:cs="宋体"/>
              </w:rPr>
            </w:pPr>
            <w:r>
              <w:rPr>
                <w:rFonts w:hint="eastAsia" w:ascii="宋体" w:hAnsi="宋体" w:cs="宋体"/>
              </w:rPr>
              <w:t>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2-6建立健全继续教育档案，建档率达100%,内容全面，记录完整</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查阅资料，抽查复核</w:t>
            </w:r>
          </w:p>
        </w:tc>
        <w:tc>
          <w:tcPr>
            <w:tcW w:w="0" w:type="auto"/>
            <w:vAlign w:val="center"/>
          </w:tcPr>
          <w:p>
            <w:pPr>
              <w:spacing w:line="240" w:lineRule="exact"/>
              <w:rPr>
                <w:rFonts w:ascii="宋体" w:hAnsi="宋体" w:cs="宋体"/>
              </w:rPr>
            </w:pPr>
            <w:r>
              <w:rPr>
                <w:rFonts w:hint="eastAsia" w:ascii="宋体" w:hAnsi="宋体" w:cs="宋体"/>
              </w:rPr>
              <w:t>建档率不达标不得分；不全面或记录不完整扣5分；复核有1人记录不真实扣10分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3.开展学术活动，促进科技进步(20分)</w:t>
            </w:r>
          </w:p>
        </w:tc>
        <w:tc>
          <w:tcPr>
            <w:tcW w:w="0" w:type="auto"/>
            <w:vAlign w:val="center"/>
          </w:tcPr>
          <w:p>
            <w:pPr>
              <w:spacing w:line="240" w:lineRule="exact"/>
              <w:rPr>
                <w:rFonts w:ascii="宋体" w:hAnsi="宋体" w:cs="宋体"/>
              </w:rPr>
            </w:pPr>
            <w:r>
              <w:rPr>
                <w:rFonts w:hint="eastAsia" w:ascii="宋体" w:hAnsi="宋体" w:cs="宋体"/>
              </w:rPr>
              <w:t>3-1省级或以上学术会议收集论文数≥10篇/3年；省、市或以上刊物发表论文数≥6篇/3年</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查阅、审核资料</w:t>
            </w:r>
          </w:p>
        </w:tc>
        <w:tc>
          <w:tcPr>
            <w:tcW w:w="0" w:type="auto"/>
            <w:vAlign w:val="center"/>
          </w:tcPr>
          <w:p>
            <w:pPr>
              <w:spacing w:line="240" w:lineRule="exact"/>
              <w:rPr>
                <w:rFonts w:ascii="宋体" w:hAnsi="宋体" w:cs="宋体"/>
              </w:rPr>
            </w:pPr>
            <w:r>
              <w:rPr>
                <w:rFonts w:hint="eastAsia" w:ascii="宋体" w:hAnsi="宋体" w:cs="宋体"/>
              </w:rPr>
              <w:t>每少1篇扣2分；省以上刊</w:t>
            </w:r>
          </w:p>
          <w:p>
            <w:pPr>
              <w:spacing w:line="240" w:lineRule="exact"/>
              <w:rPr>
                <w:rFonts w:ascii="宋体" w:hAnsi="宋体" w:cs="宋体"/>
              </w:rPr>
            </w:pPr>
            <w:r>
              <w:rPr>
                <w:rFonts w:hint="eastAsia" w:ascii="宋体" w:hAnsi="宋体" w:cs="宋体"/>
              </w:rPr>
              <w:t>物(核心期刊)每超一篇加2分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tcBorders>
              <w:top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3-2市级或以上专项科研项目或课题≥1项/3年且完成率100%</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查阅、审核资料</w:t>
            </w:r>
          </w:p>
        </w:tc>
        <w:tc>
          <w:tcPr>
            <w:tcW w:w="0" w:type="auto"/>
            <w:vAlign w:val="center"/>
          </w:tcPr>
          <w:p>
            <w:pPr>
              <w:spacing w:line="240" w:lineRule="exact"/>
              <w:rPr>
                <w:rFonts w:ascii="宋体" w:hAnsi="宋体" w:cs="宋体"/>
              </w:rPr>
            </w:pPr>
            <w:r>
              <w:rPr>
                <w:rFonts w:hint="eastAsia" w:ascii="宋体" w:hAnsi="宋体" w:cs="宋体"/>
              </w:rPr>
              <w:t>前两项1项做不到扣5分；承办市级以上学术会议加2分；获得市级科技进步二等奖以上每项加5分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restart"/>
            <w:vAlign w:val="center"/>
          </w:tcPr>
          <w:p>
            <w:pPr>
              <w:spacing w:line="240" w:lineRule="exact"/>
              <w:rPr>
                <w:rFonts w:ascii="宋体" w:hAnsi="宋体" w:cs="宋体"/>
              </w:rPr>
            </w:pPr>
            <w:r>
              <w:rPr>
                <w:rFonts w:hint="eastAsia" w:ascii="宋体" w:hAnsi="宋体" w:cs="宋体"/>
              </w:rPr>
              <w:t>4.做好科普工作(5分)</w:t>
            </w:r>
          </w:p>
        </w:tc>
        <w:tc>
          <w:tcPr>
            <w:tcW w:w="0" w:type="auto"/>
            <w:vMerge w:val="restart"/>
            <w:vAlign w:val="center"/>
          </w:tcPr>
          <w:p>
            <w:pPr>
              <w:spacing w:line="240" w:lineRule="exact"/>
              <w:rPr>
                <w:rFonts w:ascii="宋体" w:hAnsi="宋体" w:cs="宋体"/>
              </w:rPr>
            </w:pPr>
            <w:r>
              <w:rPr>
                <w:rFonts w:hint="eastAsia" w:ascii="宋体" w:hAnsi="宋体" w:cs="宋体"/>
              </w:rPr>
              <w:t>4-1每年采用各种形式开展急救知识等科普宣传不少于3次</w:t>
            </w:r>
          </w:p>
        </w:tc>
        <w:tc>
          <w:tcPr>
            <w:tcW w:w="0" w:type="auto"/>
            <w:tcBorders>
              <w:bottom w:val="nil"/>
            </w:tcBorders>
            <w:vAlign w:val="center"/>
          </w:tcPr>
          <w:p>
            <w:pPr>
              <w:spacing w:line="240" w:lineRule="exact"/>
              <w:jc w:val="center"/>
              <w:rPr>
                <w:rFonts w:ascii="宋体" w:hAnsi="宋体" w:cs="宋体"/>
              </w:rPr>
            </w:pPr>
          </w:p>
        </w:tc>
        <w:tc>
          <w:tcPr>
            <w:tcW w:w="0" w:type="auto"/>
            <w:vMerge w:val="restart"/>
            <w:vAlign w:val="center"/>
          </w:tcPr>
          <w:p>
            <w:pPr>
              <w:spacing w:line="240" w:lineRule="exact"/>
              <w:rPr>
                <w:rFonts w:ascii="宋体" w:hAnsi="宋体" w:cs="宋体"/>
              </w:rPr>
            </w:pPr>
            <w:r>
              <w:rPr>
                <w:rFonts w:hint="eastAsia" w:ascii="宋体" w:hAnsi="宋体" w:cs="宋体"/>
              </w:rPr>
              <w:t>查阅资料、随访抽查复核</w:t>
            </w:r>
          </w:p>
        </w:tc>
        <w:tc>
          <w:tcPr>
            <w:tcW w:w="0" w:type="auto"/>
            <w:vMerge w:val="restart"/>
            <w:vAlign w:val="center"/>
          </w:tcPr>
          <w:p>
            <w:pPr>
              <w:spacing w:line="240" w:lineRule="exact"/>
              <w:rPr>
                <w:rFonts w:ascii="宋体" w:hAnsi="宋体" w:cs="宋体"/>
              </w:rPr>
            </w:pPr>
            <w:r>
              <w:rPr>
                <w:rFonts w:hint="eastAsia" w:ascii="宋体" w:hAnsi="宋体" w:cs="宋体"/>
              </w:rPr>
              <w:t>每少1次扣2分；复核1次</w:t>
            </w:r>
          </w:p>
          <w:p>
            <w:pPr>
              <w:spacing w:line="240" w:lineRule="exact"/>
              <w:rPr>
                <w:rFonts w:ascii="宋体" w:hAnsi="宋体" w:cs="宋体"/>
              </w:rPr>
            </w:pPr>
            <w:r>
              <w:rPr>
                <w:rFonts w:hint="eastAsia" w:ascii="宋体" w:hAnsi="宋体" w:cs="宋体"/>
              </w:rPr>
              <w:t>不真实不得分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vAlign w:val="center"/>
          </w:tcPr>
          <w:p>
            <w:pPr>
              <w:spacing w:line="240" w:lineRule="exact"/>
              <w:rPr>
                <w:rFonts w:ascii="宋体" w:hAnsi="宋体" w:cs="宋体"/>
              </w:rPr>
            </w:pPr>
          </w:p>
        </w:tc>
        <w:tc>
          <w:tcPr>
            <w:tcW w:w="0" w:type="auto"/>
            <w:vMerge w:val="continue"/>
            <w:vAlign w:val="center"/>
          </w:tcPr>
          <w:p>
            <w:pPr>
              <w:spacing w:line="240" w:lineRule="exact"/>
              <w:rPr>
                <w:rFonts w:ascii="宋体" w:hAnsi="宋体" w:cs="宋体"/>
              </w:rPr>
            </w:pPr>
          </w:p>
        </w:tc>
        <w:tc>
          <w:tcPr>
            <w:tcW w:w="0" w:type="auto"/>
            <w:tcBorders>
              <w:top w:val="nil"/>
              <w:bottom w:val="nil"/>
            </w:tcBorders>
            <w:vAlign w:val="center"/>
          </w:tcPr>
          <w:p>
            <w:pPr>
              <w:spacing w:line="240" w:lineRule="exact"/>
              <w:jc w:val="center"/>
              <w:rPr>
                <w:rFonts w:ascii="宋体" w:hAnsi="宋体" w:cs="宋体"/>
              </w:rPr>
            </w:pPr>
            <w:r>
              <w:rPr>
                <w:rFonts w:hint="eastAsia" w:ascii="宋体" w:hAnsi="宋体" w:cs="宋体"/>
              </w:rPr>
              <w:t>5</w:t>
            </w:r>
          </w:p>
        </w:tc>
        <w:tc>
          <w:tcPr>
            <w:tcW w:w="0" w:type="auto"/>
            <w:vMerge w:val="continue"/>
            <w:vAlign w:val="center"/>
          </w:tcPr>
          <w:p>
            <w:pPr>
              <w:spacing w:line="240" w:lineRule="exact"/>
              <w:rPr>
                <w:rFonts w:ascii="宋体" w:hAnsi="宋体" w:cs="宋体"/>
              </w:rPr>
            </w:pPr>
          </w:p>
        </w:tc>
        <w:tc>
          <w:tcPr>
            <w:tcW w:w="0" w:type="auto"/>
            <w:vMerge w:val="continue"/>
            <w:vAlign w:val="center"/>
          </w:tcPr>
          <w:p>
            <w:pPr>
              <w:spacing w:line="240" w:lineRule="exact"/>
              <w:rPr>
                <w:rFonts w:ascii="宋体" w:hAns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0" w:type="auto"/>
            <w:vMerge w:val="continue"/>
            <w:vAlign w:val="center"/>
          </w:tcPr>
          <w:p>
            <w:pPr>
              <w:spacing w:line="240" w:lineRule="exact"/>
              <w:rPr>
                <w:rFonts w:ascii="宋体" w:hAnsi="宋体" w:cs="宋体"/>
              </w:rPr>
            </w:pPr>
          </w:p>
        </w:tc>
        <w:tc>
          <w:tcPr>
            <w:tcW w:w="0" w:type="auto"/>
            <w:vMerge w:val="continue"/>
            <w:vAlign w:val="center"/>
          </w:tcPr>
          <w:p>
            <w:pPr>
              <w:spacing w:line="240" w:lineRule="exact"/>
              <w:rPr>
                <w:rFonts w:ascii="宋体" w:hAnsi="宋体" w:cs="宋体"/>
              </w:rPr>
            </w:pPr>
          </w:p>
        </w:tc>
        <w:tc>
          <w:tcPr>
            <w:tcW w:w="0" w:type="auto"/>
            <w:tcBorders>
              <w:top w:val="nil"/>
            </w:tcBorders>
            <w:vAlign w:val="center"/>
          </w:tcPr>
          <w:p>
            <w:pPr>
              <w:spacing w:line="240" w:lineRule="exact"/>
              <w:jc w:val="center"/>
              <w:rPr>
                <w:rFonts w:ascii="宋体" w:hAnsi="宋体" w:cs="宋体"/>
              </w:rPr>
            </w:pPr>
          </w:p>
        </w:tc>
        <w:tc>
          <w:tcPr>
            <w:tcW w:w="0" w:type="auto"/>
            <w:vMerge w:val="continue"/>
            <w:vAlign w:val="center"/>
          </w:tcPr>
          <w:p>
            <w:pPr>
              <w:spacing w:line="240" w:lineRule="exact"/>
              <w:rPr>
                <w:rFonts w:ascii="宋体" w:hAnsi="宋体" w:cs="宋体"/>
              </w:rPr>
            </w:pPr>
          </w:p>
        </w:tc>
        <w:tc>
          <w:tcPr>
            <w:tcW w:w="0" w:type="auto"/>
            <w:vMerge w:val="continue"/>
            <w:vAlign w:val="center"/>
          </w:tcPr>
          <w:p>
            <w:pPr>
              <w:spacing w:line="240" w:lineRule="exact"/>
              <w:rPr>
                <w:rFonts w:ascii="宋体" w:hAnsi="宋体" w:cs="宋体"/>
              </w:rPr>
            </w:pPr>
          </w:p>
        </w:tc>
      </w:tr>
    </w:tbl>
    <w:p>
      <w:pPr>
        <w:spacing w:line="240" w:lineRule="exact"/>
        <w:rPr>
          <w:rFonts w:ascii="宋体" w:hAnsi="宋体" w:cs="宋体"/>
        </w:rPr>
      </w:pPr>
    </w:p>
    <w:p>
      <w:pPr>
        <w:spacing w:line="240" w:lineRule="exact"/>
        <w:rPr>
          <w:rFonts w:ascii="宋体" w:hAnsi="宋体" w:cs="宋体"/>
        </w:rPr>
      </w:pPr>
    </w:p>
    <w:p>
      <w:pPr>
        <w:spacing w:before="118" w:line="222" w:lineRule="auto"/>
        <w:jc w:val="left"/>
        <w:outlineLvl w:val="0"/>
        <w:rPr>
          <w:rFonts w:ascii="宋体" w:hAnsi="宋体" w:cs="宋体"/>
          <w:b/>
          <w:bCs/>
          <w:spacing w:val="-12"/>
        </w:rPr>
      </w:pPr>
      <w:r>
        <w:rPr>
          <w:rFonts w:hint="eastAsia"/>
          <w:sz w:val="20"/>
          <w:szCs w:val="20"/>
        </w:rPr>
        <w:t>5.2.6.4</w:t>
      </w:r>
      <w:r>
        <w:rPr>
          <w:rFonts w:hint="eastAsia" w:ascii="宋体" w:hAnsi="宋体" w:cs="宋体"/>
          <w:b/>
          <w:bCs/>
          <w:spacing w:val="-12"/>
        </w:rPr>
        <w:t>调度指挥180分</w:t>
      </w:r>
    </w:p>
    <w:tbl>
      <w:tblPr>
        <w:tblStyle w:val="2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395"/>
        <w:gridCol w:w="3648"/>
        <w:gridCol w:w="371"/>
        <w:gridCol w:w="1338"/>
        <w:gridCol w:w="26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Align w:val="center"/>
          </w:tcPr>
          <w:p>
            <w:pPr>
              <w:spacing w:line="240" w:lineRule="exact"/>
              <w:jc w:val="center"/>
              <w:rPr>
                <w:rFonts w:ascii="宋体" w:hAnsi="宋体" w:cs="宋体"/>
              </w:rPr>
            </w:pPr>
            <w:r>
              <w:rPr>
                <w:rFonts w:hint="eastAsia" w:ascii="宋体" w:hAnsi="宋体" w:cs="宋体"/>
              </w:rPr>
              <w:t>标准</w:t>
            </w:r>
          </w:p>
        </w:tc>
        <w:tc>
          <w:tcPr>
            <w:tcW w:w="0" w:type="auto"/>
            <w:vAlign w:val="center"/>
          </w:tcPr>
          <w:p>
            <w:pPr>
              <w:spacing w:line="240" w:lineRule="exact"/>
              <w:jc w:val="center"/>
              <w:rPr>
                <w:rFonts w:ascii="宋体" w:hAnsi="宋体" w:cs="宋体"/>
              </w:rPr>
            </w:pPr>
            <w:r>
              <w:rPr>
                <w:rFonts w:hint="eastAsia" w:ascii="宋体" w:hAnsi="宋体" w:cs="宋体"/>
              </w:rPr>
              <w:t>基本要求</w:t>
            </w:r>
          </w:p>
        </w:tc>
        <w:tc>
          <w:tcPr>
            <w:tcW w:w="0" w:type="auto"/>
            <w:vAlign w:val="center"/>
          </w:tcPr>
          <w:p>
            <w:pPr>
              <w:spacing w:line="240" w:lineRule="exact"/>
              <w:jc w:val="center"/>
              <w:rPr>
                <w:rFonts w:ascii="宋体" w:hAnsi="宋体" w:cs="宋体"/>
              </w:rPr>
            </w:pPr>
            <w:r>
              <w:rPr>
                <w:rFonts w:hint="eastAsia" w:ascii="宋体" w:hAnsi="宋体" w:cs="宋体"/>
              </w:rPr>
              <w:t>标准分</w:t>
            </w:r>
          </w:p>
        </w:tc>
        <w:tc>
          <w:tcPr>
            <w:tcW w:w="0" w:type="auto"/>
            <w:vAlign w:val="center"/>
          </w:tcPr>
          <w:p>
            <w:pPr>
              <w:spacing w:line="240" w:lineRule="exact"/>
              <w:jc w:val="center"/>
              <w:rPr>
                <w:rFonts w:ascii="宋体" w:hAnsi="宋体" w:cs="宋体"/>
              </w:rPr>
            </w:pPr>
            <w:r>
              <w:rPr>
                <w:rFonts w:hint="eastAsia" w:ascii="宋体" w:hAnsi="宋体" w:cs="宋体"/>
              </w:rPr>
              <w:t>考评方法</w:t>
            </w:r>
          </w:p>
        </w:tc>
        <w:tc>
          <w:tcPr>
            <w:tcW w:w="0" w:type="auto"/>
            <w:vAlign w:val="center"/>
          </w:tcPr>
          <w:p>
            <w:pPr>
              <w:spacing w:line="240" w:lineRule="exact"/>
              <w:jc w:val="center"/>
              <w:rPr>
                <w:rFonts w:ascii="宋体" w:hAnsi="宋体" w:cs="宋体"/>
              </w:rPr>
            </w:pPr>
            <w:r>
              <w:rPr>
                <w:rFonts w:hint="eastAsia" w:ascii="宋体" w:hAnsi="宋体" w:cs="宋体"/>
              </w:rPr>
              <w:t>扣分标准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1.指挥调度信息系统健全(110分)</w:t>
            </w:r>
          </w:p>
        </w:tc>
        <w:tc>
          <w:tcPr>
            <w:tcW w:w="0" w:type="auto"/>
            <w:vAlign w:val="center"/>
          </w:tcPr>
          <w:p>
            <w:pPr>
              <w:spacing w:line="240" w:lineRule="exact"/>
              <w:rPr>
                <w:rFonts w:ascii="宋体" w:hAnsi="宋体" w:cs="宋体"/>
              </w:rPr>
            </w:pPr>
            <w:r>
              <w:rPr>
                <w:rFonts w:hint="eastAsia" w:ascii="宋体" w:hAnsi="宋体" w:cs="宋体"/>
              </w:rPr>
              <w:t>1-1建有120急救指挥调度系统，系统运行稳定</w:t>
            </w:r>
          </w:p>
          <w:p>
            <w:pPr>
              <w:spacing w:line="240" w:lineRule="exact"/>
              <w:rPr>
                <w:rFonts w:ascii="宋体" w:hAnsi="宋体" w:cs="宋体"/>
              </w:rPr>
            </w:pPr>
            <w:r>
              <w:rPr>
                <w:rFonts w:hint="eastAsia" w:ascii="宋体" w:hAnsi="宋体" w:cs="宋体"/>
              </w:rPr>
              <w:t>(1)应急电源子系统，建有与系统运行相匹配的不间断电源</w:t>
            </w:r>
          </w:p>
          <w:p>
            <w:pPr>
              <w:spacing w:line="240" w:lineRule="exact"/>
              <w:rPr>
                <w:rFonts w:ascii="宋体" w:hAnsi="宋体" w:cs="宋体"/>
              </w:rPr>
            </w:pPr>
            <w:r>
              <w:rPr>
                <w:rFonts w:hint="eastAsia" w:ascii="宋体" w:hAnsi="宋体" w:cs="宋体"/>
              </w:rPr>
              <w:t>(2)120语音通信子系统</w:t>
            </w:r>
          </w:p>
          <w:p>
            <w:pPr>
              <w:spacing w:line="240" w:lineRule="exact"/>
              <w:rPr>
                <w:rFonts w:ascii="宋体" w:hAnsi="宋体" w:cs="宋体"/>
              </w:rPr>
            </w:pPr>
            <w:r>
              <w:rPr>
                <w:rFonts w:hint="eastAsia" w:ascii="宋体" w:hAnsi="宋体" w:cs="宋体"/>
              </w:rPr>
              <w:t>(3)录音录时子系统</w:t>
            </w:r>
          </w:p>
          <w:p>
            <w:pPr>
              <w:spacing w:line="240" w:lineRule="exact"/>
              <w:rPr>
                <w:rFonts w:ascii="宋体" w:hAnsi="宋体" w:cs="宋体"/>
              </w:rPr>
            </w:pPr>
            <w:r>
              <w:rPr>
                <w:rFonts w:hint="eastAsia" w:ascii="宋体" w:hAnsi="宋体" w:cs="宋体"/>
              </w:rPr>
              <w:t>(4)计算机辅助120受理调派子系统</w:t>
            </w:r>
          </w:p>
          <w:p>
            <w:pPr>
              <w:spacing w:line="240" w:lineRule="exact"/>
              <w:rPr>
                <w:rFonts w:ascii="宋体" w:hAnsi="宋体" w:cs="宋体"/>
              </w:rPr>
            </w:pPr>
            <w:r>
              <w:rPr>
                <w:rFonts w:hint="eastAsia" w:ascii="宋体" w:hAnsi="宋体" w:cs="宋体"/>
              </w:rPr>
              <w:t>(5)地理信息(GIS)子系统</w:t>
            </w:r>
          </w:p>
          <w:p>
            <w:pPr>
              <w:spacing w:line="240" w:lineRule="exact"/>
              <w:rPr>
                <w:rFonts w:ascii="宋体" w:hAnsi="宋体" w:cs="宋体"/>
              </w:rPr>
            </w:pPr>
            <w:r>
              <w:rPr>
                <w:rFonts w:hint="eastAsia" w:ascii="宋体" w:hAnsi="宋体" w:cs="宋体"/>
              </w:rPr>
              <w:t>(6)卫星定位(GPS)及车载子系统，每车必配</w:t>
            </w:r>
          </w:p>
          <w:p>
            <w:pPr>
              <w:spacing w:line="240" w:lineRule="exact"/>
              <w:rPr>
                <w:rFonts w:ascii="宋体" w:hAnsi="宋体" w:cs="宋体"/>
              </w:rPr>
            </w:pPr>
            <w:r>
              <w:rPr>
                <w:rFonts w:hint="eastAsia" w:ascii="宋体" w:hAnsi="宋体" w:cs="宋体"/>
              </w:rPr>
              <w:t>(7)视频监控及大屏幕子系统</w:t>
            </w:r>
          </w:p>
          <w:p>
            <w:pPr>
              <w:spacing w:line="240" w:lineRule="exact"/>
              <w:rPr>
                <w:rFonts w:ascii="宋体" w:hAnsi="宋体" w:cs="宋体"/>
              </w:rPr>
            </w:pPr>
            <w:r>
              <w:rPr>
                <w:rFonts w:hint="eastAsia" w:ascii="宋体" w:hAnsi="宋体" w:cs="宋体"/>
              </w:rPr>
              <w:t>(8)数据管理子系统，定期统计各种数据</w:t>
            </w:r>
          </w:p>
          <w:p>
            <w:pPr>
              <w:spacing w:line="240" w:lineRule="exact"/>
              <w:rPr>
                <w:rFonts w:ascii="宋体" w:hAnsi="宋体" w:cs="宋体"/>
              </w:rPr>
            </w:pPr>
            <w:r>
              <w:rPr>
                <w:rFonts w:hint="eastAsia" w:ascii="宋体" w:hAnsi="宋体" w:cs="宋体"/>
              </w:rPr>
              <w:t>(9)院前一院内通讯(平台)子系统</w:t>
            </w:r>
          </w:p>
          <w:p>
            <w:pPr>
              <w:spacing w:line="240" w:lineRule="exact"/>
              <w:rPr>
                <w:rFonts w:ascii="宋体" w:hAnsi="宋体" w:cs="宋体"/>
              </w:rPr>
            </w:pPr>
            <w:r>
              <w:rPr>
                <w:rFonts w:hint="eastAsia" w:ascii="宋体" w:hAnsi="宋体" w:cs="宋体"/>
              </w:rPr>
              <w:t>(10)领导决策子系统</w:t>
            </w:r>
          </w:p>
        </w:tc>
        <w:tc>
          <w:tcPr>
            <w:tcW w:w="0" w:type="auto"/>
            <w:vAlign w:val="center"/>
          </w:tcPr>
          <w:p>
            <w:pPr>
              <w:spacing w:line="240" w:lineRule="exact"/>
              <w:jc w:val="center"/>
              <w:rPr>
                <w:rFonts w:ascii="宋体" w:hAnsi="宋体" w:cs="宋体"/>
              </w:rPr>
            </w:pPr>
            <w:r>
              <w:rPr>
                <w:rFonts w:hint="eastAsia" w:ascii="宋体" w:hAnsi="宋体" w:cs="宋体"/>
              </w:rPr>
              <w:t>80</w:t>
            </w:r>
          </w:p>
        </w:tc>
        <w:tc>
          <w:tcPr>
            <w:tcW w:w="0" w:type="auto"/>
            <w:vAlign w:val="center"/>
          </w:tcPr>
          <w:p>
            <w:pPr>
              <w:spacing w:line="240" w:lineRule="exact"/>
              <w:rPr>
                <w:rFonts w:ascii="宋体" w:hAnsi="宋体" w:cs="宋体"/>
              </w:rPr>
            </w:pPr>
            <w:r>
              <w:rPr>
                <w:rFonts w:hint="eastAsia" w:ascii="宋体" w:hAnsi="宋体" w:cs="宋体"/>
              </w:rPr>
              <w:t>查看现场、测试设备</w:t>
            </w:r>
          </w:p>
        </w:tc>
        <w:tc>
          <w:tcPr>
            <w:tcW w:w="0" w:type="auto"/>
            <w:vAlign w:val="center"/>
          </w:tcPr>
          <w:p>
            <w:pPr>
              <w:spacing w:line="240" w:lineRule="exact"/>
              <w:rPr>
                <w:rFonts w:ascii="宋体" w:hAnsi="宋体" w:cs="宋体"/>
              </w:rPr>
            </w:pPr>
            <w:r>
              <w:rPr>
                <w:rFonts w:hint="eastAsia" w:ascii="宋体" w:hAnsi="宋体" w:cs="宋体"/>
              </w:rPr>
              <w:t>未建立不得分；缺少1个子系统扣8分；1个子系统运行不稳定扣4分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1-2系统运行管理有序，相关规章制度、职责与操作程序或规程健全落实</w:t>
            </w:r>
          </w:p>
        </w:tc>
        <w:tc>
          <w:tcPr>
            <w:tcW w:w="0" w:type="auto"/>
            <w:vAlign w:val="center"/>
          </w:tcPr>
          <w:p>
            <w:pPr>
              <w:spacing w:line="240" w:lineRule="exact"/>
              <w:jc w:val="center"/>
              <w:rPr>
                <w:rFonts w:ascii="宋体" w:hAnsi="宋体" w:cs="宋体"/>
              </w:rPr>
            </w:pPr>
            <w:r>
              <w:rPr>
                <w:rFonts w:hint="eastAsia" w:ascii="宋体" w:hAnsi="宋体" w:cs="宋体"/>
              </w:rPr>
              <w:t>20</w:t>
            </w:r>
          </w:p>
        </w:tc>
        <w:tc>
          <w:tcPr>
            <w:tcW w:w="0" w:type="auto"/>
            <w:vAlign w:val="center"/>
          </w:tcPr>
          <w:p>
            <w:pPr>
              <w:spacing w:line="240" w:lineRule="exact"/>
              <w:rPr>
                <w:rFonts w:ascii="宋体" w:hAnsi="宋体" w:cs="宋体"/>
              </w:rPr>
            </w:pPr>
            <w:r>
              <w:rPr>
                <w:rFonts w:hint="eastAsia" w:ascii="宋体" w:hAnsi="宋体" w:cs="宋体"/>
              </w:rPr>
              <w:t>查阅资料、现场演示与考核</w:t>
            </w:r>
          </w:p>
        </w:tc>
        <w:tc>
          <w:tcPr>
            <w:tcW w:w="0" w:type="auto"/>
            <w:vAlign w:val="center"/>
          </w:tcPr>
          <w:p>
            <w:pPr>
              <w:spacing w:line="240" w:lineRule="exact"/>
              <w:rPr>
                <w:rFonts w:ascii="宋体" w:hAnsi="宋体" w:cs="宋体"/>
              </w:rPr>
            </w:pPr>
            <w:r>
              <w:rPr>
                <w:rFonts w:hint="eastAsia" w:ascii="宋体" w:hAnsi="宋体" w:cs="宋体"/>
              </w:rPr>
              <w:t>1项不健全或不落实扣7分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1-3建有无线调度指挥系统</w:t>
            </w:r>
          </w:p>
          <w:p>
            <w:pPr>
              <w:spacing w:line="240" w:lineRule="exact"/>
              <w:rPr>
                <w:rFonts w:ascii="宋体" w:hAnsi="宋体" w:cs="宋体"/>
              </w:rPr>
            </w:pPr>
            <w:r>
              <w:rPr>
                <w:rFonts w:hint="eastAsia" w:ascii="宋体" w:hAnsi="宋体" w:cs="宋体"/>
              </w:rPr>
              <w:t>(1)系统运行稳定</w:t>
            </w:r>
          </w:p>
          <w:p>
            <w:pPr>
              <w:spacing w:line="240" w:lineRule="exact"/>
              <w:rPr>
                <w:rFonts w:ascii="宋体" w:hAnsi="宋体" w:cs="宋体"/>
              </w:rPr>
            </w:pPr>
            <w:r>
              <w:rPr>
                <w:rFonts w:hint="eastAsia" w:ascii="宋体" w:hAnsi="宋体" w:cs="宋体"/>
              </w:rPr>
              <w:t>(2)系统覆盖服务区域、无盲区且具有一定的抗干扰能力</w:t>
            </w:r>
          </w:p>
          <w:p>
            <w:pPr>
              <w:spacing w:line="240" w:lineRule="exact"/>
              <w:rPr>
                <w:rFonts w:ascii="宋体" w:hAnsi="宋体" w:cs="宋体"/>
              </w:rPr>
            </w:pPr>
            <w:r>
              <w:rPr>
                <w:rFonts w:hint="eastAsia" w:ascii="宋体" w:hAnsi="宋体" w:cs="宋体"/>
              </w:rPr>
              <w:t>(3)音质清晰，满足急救需要</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现场演示</w:t>
            </w:r>
          </w:p>
        </w:tc>
        <w:tc>
          <w:tcPr>
            <w:tcW w:w="0" w:type="auto"/>
            <w:vAlign w:val="center"/>
          </w:tcPr>
          <w:p>
            <w:pPr>
              <w:spacing w:line="240" w:lineRule="exact"/>
              <w:rPr>
                <w:rFonts w:ascii="宋体" w:hAnsi="宋体" w:cs="宋体"/>
              </w:rPr>
            </w:pPr>
            <w:r>
              <w:rPr>
                <w:rFonts w:hint="eastAsia" w:ascii="宋体" w:hAnsi="宋体" w:cs="宋体"/>
              </w:rPr>
              <w:t>未建立不得分；1项不符合要求扣3分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2.调度指挥管理规范(30分)</w:t>
            </w:r>
          </w:p>
        </w:tc>
        <w:tc>
          <w:tcPr>
            <w:tcW w:w="0" w:type="auto"/>
            <w:vAlign w:val="center"/>
          </w:tcPr>
          <w:p>
            <w:pPr>
              <w:spacing w:line="240" w:lineRule="exact"/>
              <w:rPr>
                <w:rFonts w:ascii="宋体" w:hAnsi="宋体" w:cs="宋体"/>
              </w:rPr>
            </w:pPr>
            <w:r>
              <w:rPr>
                <w:rFonts w:hint="eastAsia" w:ascii="宋体" w:hAnsi="宋体" w:cs="宋体"/>
              </w:rPr>
              <w:t>2-1岗位设置规范，排班科学合理，备班充分并能落实</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查阅资料、实地考察复核</w:t>
            </w:r>
          </w:p>
        </w:tc>
        <w:tc>
          <w:tcPr>
            <w:tcW w:w="0" w:type="auto"/>
            <w:vAlign w:val="center"/>
          </w:tcPr>
          <w:p>
            <w:pPr>
              <w:spacing w:line="240" w:lineRule="exact"/>
              <w:rPr>
                <w:rFonts w:ascii="宋体" w:hAnsi="宋体" w:cs="宋体"/>
              </w:rPr>
            </w:pPr>
            <w:r>
              <w:rPr>
                <w:rFonts w:hint="eastAsia" w:ascii="宋体" w:hAnsi="宋体" w:cs="宋体"/>
              </w:rPr>
              <w:t>1项不符扣5分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2-2规章制度、岗位职贵健全落实；熟恐调度要求与程序</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查阅资料、实地考察与抽查考核</w:t>
            </w:r>
          </w:p>
        </w:tc>
        <w:tc>
          <w:tcPr>
            <w:tcW w:w="0" w:type="auto"/>
            <w:vAlign w:val="center"/>
          </w:tcPr>
          <w:p>
            <w:pPr>
              <w:spacing w:line="240" w:lineRule="exact"/>
              <w:rPr>
                <w:rFonts w:ascii="宋体" w:hAnsi="宋体" w:cs="宋体"/>
              </w:rPr>
            </w:pPr>
            <w:r>
              <w:rPr>
                <w:rFonts w:hint="eastAsia" w:ascii="宋体" w:hAnsi="宋体" w:cs="宋体"/>
              </w:rPr>
              <w:t>1项不符合要求或不落实、不熟悉扣10分，做不全扣5分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2-3与调度指挥相关的管理及技术人员计算机技术培训率及计算机应用能力(初级)考试合格率&gt;95%</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查阅资料、抽查复核</w:t>
            </w:r>
          </w:p>
        </w:tc>
        <w:tc>
          <w:tcPr>
            <w:tcW w:w="0" w:type="auto"/>
            <w:vAlign w:val="center"/>
          </w:tcPr>
          <w:p>
            <w:pPr>
              <w:spacing w:line="240" w:lineRule="exact"/>
              <w:rPr>
                <w:rFonts w:ascii="宋体" w:hAnsi="宋体" w:cs="宋体"/>
              </w:rPr>
            </w:pPr>
            <w:r>
              <w:rPr>
                <w:rFonts w:hint="eastAsia" w:ascii="宋体" w:hAnsi="宋体" w:cs="宋体"/>
              </w:rPr>
              <w:t>95%以下1人不合格扣5分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3.调度质量控制达标(40分)</w:t>
            </w:r>
          </w:p>
        </w:tc>
        <w:tc>
          <w:tcPr>
            <w:tcW w:w="0" w:type="auto"/>
            <w:vAlign w:val="center"/>
          </w:tcPr>
          <w:p>
            <w:pPr>
              <w:spacing w:line="240" w:lineRule="exact"/>
              <w:rPr>
                <w:rFonts w:ascii="宋体" w:hAnsi="宋体" w:cs="宋体"/>
              </w:rPr>
            </w:pPr>
            <w:r>
              <w:rPr>
                <w:rFonts w:hint="eastAsia" w:ascii="宋体" w:hAnsi="宋体" w:cs="宋体"/>
              </w:rPr>
              <w:t>3-1急救回车率小于3%</w:t>
            </w:r>
          </w:p>
        </w:tc>
        <w:tc>
          <w:tcPr>
            <w:tcW w:w="0" w:type="auto"/>
            <w:vMerge w:val="restart"/>
            <w:tcBorders>
              <w:bottom w:val="nil"/>
            </w:tcBorders>
            <w:vAlign w:val="center"/>
          </w:tcPr>
          <w:p>
            <w:pPr>
              <w:spacing w:line="240" w:lineRule="exact"/>
              <w:jc w:val="center"/>
              <w:rPr>
                <w:rFonts w:ascii="宋体" w:hAnsi="宋体" w:cs="宋体"/>
              </w:rPr>
            </w:pPr>
            <w:r>
              <w:rPr>
                <w:rFonts w:hint="eastAsia" w:ascii="宋体" w:hAnsi="宋体" w:cs="宋体"/>
              </w:rPr>
              <w:t>40</w:t>
            </w:r>
          </w:p>
        </w:tc>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调阅资料，审核统计数据</w:t>
            </w:r>
          </w:p>
        </w:tc>
        <w:tc>
          <w:tcPr>
            <w:tcW w:w="0" w:type="auto"/>
            <w:vAlign w:val="center"/>
          </w:tcPr>
          <w:p>
            <w:pPr>
              <w:spacing w:line="240" w:lineRule="exact"/>
              <w:rPr>
                <w:rFonts w:ascii="宋体" w:hAnsi="宋体" w:cs="宋体"/>
              </w:rPr>
            </w:pPr>
            <w:r>
              <w:rPr>
                <w:rFonts w:hint="eastAsia" w:ascii="宋体" w:hAnsi="宋体" w:cs="宋体"/>
              </w:rPr>
              <w:t>每上升1个百分点扣1分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3-2呼救受理率100%</w:t>
            </w:r>
          </w:p>
        </w:tc>
        <w:tc>
          <w:tcPr>
            <w:tcW w:w="0" w:type="auto"/>
            <w:vMerge w:val="continue"/>
            <w:tcBorders>
              <w:top w:val="nil"/>
              <w:bottom w:val="nil"/>
            </w:tcBorders>
            <w:vAlign w:val="center"/>
          </w:tcPr>
          <w:p>
            <w:pPr>
              <w:spacing w:line="240" w:lineRule="exact"/>
              <w:jc w:val="center"/>
              <w:rPr>
                <w:rFonts w:ascii="宋体" w:hAnsi="宋体" w:cs="宋体"/>
              </w:rPr>
            </w:pPr>
          </w:p>
        </w:tc>
        <w:tc>
          <w:tcPr>
            <w:tcW w:w="0" w:type="auto"/>
            <w:vMerge w:val="continue"/>
            <w:tcBorders>
              <w:top w:val="nil"/>
              <w:bottom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每下降1个百分点扣1分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3-3平均摘机时间&lt;6秒</w:t>
            </w:r>
          </w:p>
        </w:tc>
        <w:tc>
          <w:tcPr>
            <w:tcW w:w="0" w:type="auto"/>
            <w:vMerge w:val="continue"/>
            <w:tcBorders>
              <w:top w:val="nil"/>
              <w:bottom w:val="nil"/>
            </w:tcBorders>
            <w:vAlign w:val="center"/>
          </w:tcPr>
          <w:p>
            <w:pPr>
              <w:spacing w:line="240" w:lineRule="exact"/>
              <w:jc w:val="center"/>
              <w:rPr>
                <w:rFonts w:ascii="宋体" w:hAnsi="宋体" w:cs="宋体"/>
              </w:rPr>
            </w:pPr>
          </w:p>
        </w:tc>
        <w:tc>
          <w:tcPr>
            <w:tcW w:w="0" w:type="auto"/>
            <w:vMerge w:val="continue"/>
            <w:tcBorders>
              <w:top w:val="nil"/>
              <w:bottom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每上升1秒扣3分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3-4120电话平均受理时间&lt;60秒</w:t>
            </w:r>
          </w:p>
        </w:tc>
        <w:tc>
          <w:tcPr>
            <w:tcW w:w="0" w:type="auto"/>
            <w:vMerge w:val="continue"/>
            <w:tcBorders>
              <w:top w:val="nil"/>
              <w:bottom w:val="nil"/>
            </w:tcBorders>
            <w:vAlign w:val="center"/>
          </w:tcPr>
          <w:p>
            <w:pPr>
              <w:spacing w:line="240" w:lineRule="exact"/>
              <w:jc w:val="center"/>
              <w:rPr>
                <w:rFonts w:ascii="宋体" w:hAnsi="宋体" w:cs="宋体"/>
              </w:rPr>
            </w:pPr>
          </w:p>
        </w:tc>
        <w:tc>
          <w:tcPr>
            <w:tcW w:w="0" w:type="auto"/>
            <w:vMerge w:val="continue"/>
            <w:tcBorders>
              <w:top w:val="nil"/>
              <w:bottom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每上升1秒扣2分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3-53分钟出车率达100%</w:t>
            </w:r>
          </w:p>
        </w:tc>
        <w:tc>
          <w:tcPr>
            <w:tcW w:w="0" w:type="auto"/>
            <w:vMerge w:val="continue"/>
            <w:tcBorders>
              <w:top w:val="nil"/>
            </w:tcBorders>
            <w:vAlign w:val="center"/>
          </w:tcPr>
          <w:p>
            <w:pPr>
              <w:spacing w:line="240" w:lineRule="exact"/>
              <w:jc w:val="center"/>
              <w:rPr>
                <w:rFonts w:ascii="宋体" w:hAnsi="宋体" w:cs="宋体"/>
              </w:rPr>
            </w:pPr>
          </w:p>
        </w:tc>
        <w:tc>
          <w:tcPr>
            <w:tcW w:w="0" w:type="auto"/>
            <w:vMerge w:val="continue"/>
            <w:tcBorders>
              <w:top w:val="nil"/>
            </w:tcBorders>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每下降1个百分点扣1分</w:t>
            </w:r>
          </w:p>
        </w:tc>
      </w:tr>
    </w:tbl>
    <w:p>
      <w:pPr>
        <w:spacing w:line="240" w:lineRule="exact"/>
        <w:rPr>
          <w:rFonts w:ascii="宋体" w:hAnsi="宋体" w:cs="宋体"/>
        </w:rPr>
      </w:pPr>
    </w:p>
    <w:p>
      <w:pPr>
        <w:spacing w:before="118" w:line="222" w:lineRule="auto"/>
        <w:jc w:val="left"/>
        <w:outlineLvl w:val="0"/>
        <w:rPr>
          <w:rFonts w:ascii="宋体" w:hAnsi="宋体" w:cs="宋体"/>
          <w:b/>
          <w:bCs/>
          <w:spacing w:val="-12"/>
        </w:rPr>
      </w:pPr>
      <w:r>
        <w:rPr>
          <w:rFonts w:hint="eastAsia"/>
          <w:sz w:val="20"/>
          <w:szCs w:val="20"/>
        </w:rPr>
        <w:t>5.2.6.5</w:t>
      </w:r>
      <w:r>
        <w:rPr>
          <w:rFonts w:hint="eastAsia" w:ascii="宋体" w:hAnsi="宋体" w:cs="宋体"/>
          <w:b/>
          <w:bCs/>
          <w:spacing w:val="-12"/>
        </w:rPr>
        <w:t>医疗装备170分</w:t>
      </w:r>
    </w:p>
    <w:p>
      <w:pPr>
        <w:spacing w:line="240" w:lineRule="exact"/>
        <w:rPr>
          <w:rFonts w:ascii="宋体" w:hAnsi="宋体" w:cs="宋体"/>
        </w:rPr>
      </w:pPr>
    </w:p>
    <w:tbl>
      <w:tblPr>
        <w:tblStyle w:val="238"/>
        <w:tblW w:w="9325"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52"/>
        <w:gridCol w:w="3577"/>
        <w:gridCol w:w="267"/>
        <w:gridCol w:w="1578"/>
        <w:gridCol w:w="27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Align w:val="center"/>
          </w:tcPr>
          <w:p>
            <w:pPr>
              <w:spacing w:line="240" w:lineRule="exact"/>
              <w:jc w:val="center"/>
              <w:rPr>
                <w:rFonts w:ascii="宋体" w:hAnsi="宋体" w:cs="宋体"/>
              </w:rPr>
            </w:pPr>
            <w:r>
              <w:rPr>
                <w:rFonts w:hint="eastAsia" w:ascii="宋体" w:hAnsi="宋体" w:cs="宋体"/>
              </w:rPr>
              <w:t>标准</w:t>
            </w:r>
          </w:p>
        </w:tc>
        <w:tc>
          <w:tcPr>
            <w:tcW w:w="0" w:type="auto"/>
            <w:vAlign w:val="center"/>
          </w:tcPr>
          <w:p>
            <w:pPr>
              <w:spacing w:line="240" w:lineRule="exact"/>
              <w:jc w:val="center"/>
              <w:rPr>
                <w:rFonts w:ascii="宋体" w:hAnsi="宋体" w:cs="宋体"/>
              </w:rPr>
            </w:pPr>
            <w:r>
              <w:rPr>
                <w:rFonts w:hint="eastAsia" w:ascii="宋体" w:hAnsi="宋体" w:cs="宋体"/>
              </w:rPr>
              <w:t>基本要求</w:t>
            </w:r>
          </w:p>
        </w:tc>
        <w:tc>
          <w:tcPr>
            <w:tcW w:w="0" w:type="auto"/>
            <w:vAlign w:val="center"/>
          </w:tcPr>
          <w:p>
            <w:pPr>
              <w:spacing w:line="240" w:lineRule="exact"/>
              <w:jc w:val="center"/>
              <w:rPr>
                <w:rFonts w:ascii="宋体" w:hAnsi="宋体" w:cs="宋体"/>
              </w:rPr>
            </w:pPr>
            <w:r>
              <w:rPr>
                <w:rFonts w:hint="eastAsia" w:ascii="宋体" w:hAnsi="宋体" w:cs="宋体"/>
              </w:rPr>
              <w:t>标准</w:t>
            </w:r>
          </w:p>
          <w:p>
            <w:pPr>
              <w:spacing w:line="240" w:lineRule="exact"/>
              <w:jc w:val="center"/>
              <w:rPr>
                <w:rFonts w:ascii="宋体" w:hAnsi="宋体" w:cs="宋体"/>
              </w:rPr>
            </w:pPr>
            <w:r>
              <w:rPr>
                <w:rFonts w:hint="eastAsia" w:ascii="宋体" w:hAnsi="宋体" w:cs="宋体"/>
              </w:rPr>
              <w:t>分</w:t>
            </w:r>
          </w:p>
        </w:tc>
        <w:tc>
          <w:tcPr>
            <w:tcW w:w="0" w:type="auto"/>
            <w:vAlign w:val="center"/>
          </w:tcPr>
          <w:p>
            <w:pPr>
              <w:spacing w:line="240" w:lineRule="exact"/>
              <w:jc w:val="center"/>
              <w:rPr>
                <w:rFonts w:ascii="宋体" w:hAnsi="宋体" w:cs="宋体"/>
              </w:rPr>
            </w:pPr>
            <w:r>
              <w:rPr>
                <w:rFonts w:hint="eastAsia" w:ascii="宋体" w:hAnsi="宋体" w:cs="宋体"/>
              </w:rPr>
              <w:t>考评方法</w:t>
            </w:r>
          </w:p>
        </w:tc>
        <w:tc>
          <w:tcPr>
            <w:tcW w:w="0" w:type="auto"/>
            <w:vAlign w:val="center"/>
          </w:tcPr>
          <w:p>
            <w:pPr>
              <w:spacing w:line="240" w:lineRule="exact"/>
              <w:jc w:val="center"/>
              <w:rPr>
                <w:rFonts w:ascii="宋体" w:hAnsi="宋体" w:cs="宋体"/>
              </w:rPr>
            </w:pPr>
            <w:r>
              <w:rPr>
                <w:rFonts w:hint="eastAsia" w:ascii="宋体" w:hAnsi="宋体" w:cs="宋体"/>
              </w:rPr>
              <w:t>扣分标准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vAlign w:val="center"/>
          </w:tcPr>
          <w:p>
            <w:pPr>
              <w:spacing w:line="240" w:lineRule="exact"/>
              <w:rPr>
                <w:rFonts w:ascii="宋体" w:hAnsi="宋体" w:cs="宋体"/>
              </w:rPr>
            </w:pPr>
            <w:r>
              <w:rPr>
                <w:rFonts w:hint="eastAsia" w:ascii="宋体" w:hAnsi="宋体" w:cs="宋体"/>
              </w:rPr>
              <w:t>1.医疗装备适应功能需要(110分)</w:t>
            </w:r>
          </w:p>
        </w:tc>
        <w:tc>
          <w:tcPr>
            <w:tcW w:w="0" w:type="auto"/>
            <w:vAlign w:val="center"/>
          </w:tcPr>
          <w:p>
            <w:pPr>
              <w:spacing w:line="240" w:lineRule="exact"/>
              <w:rPr>
                <w:rFonts w:ascii="宋体" w:hAnsi="宋体" w:cs="宋体"/>
              </w:rPr>
            </w:pPr>
            <w:r>
              <w:rPr>
                <w:rFonts w:hint="eastAsia" w:ascii="宋体" w:hAnsi="宋体" w:cs="宋体"/>
              </w:rPr>
              <w:t>1-1急救车数量能满足服务区域内急救医疗任务的基本需求，达到1辆/4万人；全部配备监护型救护车</w:t>
            </w:r>
          </w:p>
        </w:tc>
        <w:tc>
          <w:tcPr>
            <w:tcW w:w="0" w:type="auto"/>
            <w:vAlign w:val="center"/>
          </w:tcPr>
          <w:p>
            <w:pPr>
              <w:spacing w:line="240" w:lineRule="exact"/>
              <w:jc w:val="center"/>
              <w:rPr>
                <w:rFonts w:ascii="宋体" w:hAnsi="宋体" w:cs="宋体"/>
              </w:rPr>
            </w:pPr>
            <w:r>
              <w:rPr>
                <w:rFonts w:hint="eastAsia" w:ascii="宋体" w:hAnsi="宋体" w:cs="宋体"/>
              </w:rPr>
              <w:t>60</w:t>
            </w:r>
          </w:p>
        </w:tc>
        <w:tc>
          <w:tcPr>
            <w:tcW w:w="0" w:type="auto"/>
            <w:vAlign w:val="center"/>
          </w:tcPr>
          <w:p>
            <w:pPr>
              <w:spacing w:line="240" w:lineRule="exact"/>
              <w:rPr>
                <w:rFonts w:ascii="宋体" w:hAnsi="宋体" w:cs="宋体"/>
              </w:rPr>
            </w:pPr>
            <w:r>
              <w:rPr>
                <w:rFonts w:hint="eastAsia" w:ascii="宋体" w:hAnsi="宋体" w:cs="宋体"/>
              </w:rPr>
              <w:t>查阅资料、现场查看</w:t>
            </w:r>
          </w:p>
        </w:tc>
        <w:tc>
          <w:tcPr>
            <w:tcW w:w="0" w:type="auto"/>
            <w:vAlign w:val="center"/>
          </w:tcPr>
          <w:p>
            <w:pPr>
              <w:spacing w:line="240" w:lineRule="exact"/>
              <w:rPr>
                <w:rFonts w:ascii="宋体" w:hAnsi="宋体" w:cs="宋体"/>
              </w:rPr>
            </w:pPr>
            <w:r>
              <w:rPr>
                <w:rFonts w:hint="eastAsia" w:ascii="宋体" w:hAnsi="宋体" w:cs="宋体"/>
              </w:rPr>
              <w:t>按城区人口每少1辆扣4分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1-2负压车≥1辆。</w:t>
            </w:r>
          </w:p>
        </w:tc>
        <w:tc>
          <w:tcPr>
            <w:tcW w:w="0" w:type="auto"/>
            <w:vAlign w:val="center"/>
          </w:tcPr>
          <w:p>
            <w:pPr>
              <w:spacing w:line="240" w:lineRule="exact"/>
              <w:jc w:val="center"/>
              <w:rPr>
                <w:rFonts w:ascii="宋体" w:hAnsi="宋体" w:cs="宋体"/>
              </w:rPr>
            </w:pPr>
            <w:r>
              <w:rPr>
                <w:rFonts w:hint="eastAsia" w:ascii="宋体" w:hAnsi="宋体" w:cs="宋体"/>
              </w:rPr>
              <w:t>5</w:t>
            </w:r>
          </w:p>
        </w:tc>
        <w:tc>
          <w:tcPr>
            <w:tcW w:w="0" w:type="auto"/>
            <w:vAlign w:val="center"/>
          </w:tcPr>
          <w:p>
            <w:pPr>
              <w:spacing w:line="240" w:lineRule="exact"/>
              <w:rPr>
                <w:rFonts w:ascii="宋体" w:hAnsi="宋体" w:cs="宋体"/>
              </w:rPr>
            </w:pPr>
            <w:r>
              <w:rPr>
                <w:rFonts w:hint="eastAsia" w:ascii="宋体" w:hAnsi="宋体" w:cs="宋体"/>
              </w:rPr>
              <w:t>实地查看</w:t>
            </w:r>
          </w:p>
        </w:tc>
        <w:tc>
          <w:tcPr>
            <w:tcW w:w="0" w:type="auto"/>
            <w:vAlign w:val="center"/>
          </w:tcPr>
          <w:p>
            <w:pPr>
              <w:spacing w:line="240" w:lineRule="exact"/>
              <w:rPr>
                <w:rFonts w:ascii="宋体" w:hAns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1-3有急救指挥车，性能、设施符合指挥需求，管理到位，专车专用</w:t>
            </w:r>
          </w:p>
        </w:tc>
        <w:tc>
          <w:tcPr>
            <w:tcW w:w="0" w:type="auto"/>
            <w:vAlign w:val="center"/>
          </w:tcPr>
          <w:p>
            <w:pPr>
              <w:spacing w:line="240" w:lineRule="exact"/>
              <w:jc w:val="center"/>
              <w:rPr>
                <w:rFonts w:ascii="宋体" w:hAnsi="宋体" w:cs="宋体"/>
              </w:rPr>
            </w:pPr>
            <w:r>
              <w:rPr>
                <w:rFonts w:hint="eastAsia" w:ascii="宋体" w:hAnsi="宋体" w:cs="宋体"/>
              </w:rPr>
              <w:t>15</w:t>
            </w:r>
          </w:p>
        </w:tc>
        <w:tc>
          <w:tcPr>
            <w:tcW w:w="0" w:type="auto"/>
            <w:vAlign w:val="center"/>
          </w:tcPr>
          <w:p>
            <w:pPr>
              <w:spacing w:line="240" w:lineRule="exact"/>
              <w:rPr>
                <w:rFonts w:ascii="宋体" w:hAnsi="宋体" w:cs="宋体"/>
              </w:rPr>
            </w:pPr>
            <w:r>
              <w:rPr>
                <w:rFonts w:hint="eastAsia" w:ascii="宋体" w:hAnsi="宋体" w:cs="宋体"/>
              </w:rPr>
              <w:t>实地查看，结合随访或问卷调查</w:t>
            </w:r>
          </w:p>
        </w:tc>
        <w:tc>
          <w:tcPr>
            <w:tcW w:w="0" w:type="auto"/>
            <w:vAlign w:val="center"/>
          </w:tcPr>
          <w:p>
            <w:pPr>
              <w:spacing w:line="240" w:lineRule="exact"/>
              <w:rPr>
                <w:rFonts w:ascii="宋体" w:hAnsi="宋体" w:cs="宋体"/>
              </w:rPr>
            </w:pPr>
            <w:r>
              <w:rPr>
                <w:rFonts w:hint="eastAsia" w:ascii="宋体" w:hAnsi="宋体" w:cs="宋体"/>
              </w:rPr>
              <w:t>无或性能、设施不符合要求，不得分；管理制度不健全或不公开扣10分、不落实或发现1次非急救指挥用车扣15分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1-4救护车配置药品及医疗器械符合标准[参见《急救医疗中心(站)建设管理规范》]</w:t>
            </w:r>
          </w:p>
        </w:tc>
        <w:tc>
          <w:tcPr>
            <w:tcW w:w="0" w:type="auto"/>
            <w:vAlign w:val="center"/>
          </w:tcPr>
          <w:p>
            <w:pPr>
              <w:spacing w:line="240" w:lineRule="exact"/>
              <w:jc w:val="center"/>
              <w:rPr>
                <w:rFonts w:ascii="宋体" w:hAnsi="宋体" w:cs="宋体"/>
              </w:rPr>
            </w:pPr>
            <w:r>
              <w:rPr>
                <w:rFonts w:hint="eastAsia" w:ascii="宋体" w:hAnsi="宋体" w:cs="宋体"/>
              </w:rPr>
              <w:t>30</w:t>
            </w:r>
          </w:p>
        </w:tc>
        <w:tc>
          <w:tcPr>
            <w:tcW w:w="0" w:type="auto"/>
            <w:vAlign w:val="center"/>
          </w:tcPr>
          <w:p>
            <w:pPr>
              <w:spacing w:line="240" w:lineRule="exact"/>
              <w:rPr>
                <w:rFonts w:ascii="宋体" w:hAnsi="宋体" w:cs="宋体"/>
              </w:rPr>
            </w:pPr>
            <w:r>
              <w:rPr>
                <w:rFonts w:hint="eastAsia" w:ascii="宋体" w:hAnsi="宋体" w:cs="宋体"/>
              </w:rPr>
              <w:t>查阅资料，现场查看急救车总数的30%,查看每辆急救车装备</w:t>
            </w:r>
          </w:p>
        </w:tc>
        <w:tc>
          <w:tcPr>
            <w:tcW w:w="0" w:type="auto"/>
            <w:vAlign w:val="center"/>
          </w:tcPr>
          <w:p>
            <w:pPr>
              <w:spacing w:line="240" w:lineRule="exact"/>
              <w:rPr>
                <w:rFonts w:ascii="宋体" w:hAnsi="宋体" w:cs="宋体"/>
              </w:rPr>
            </w:pPr>
            <w:r>
              <w:rPr>
                <w:rFonts w:hint="eastAsia" w:ascii="宋体" w:hAnsi="宋体" w:cs="宋体"/>
              </w:rPr>
              <w:t>发现1辆不达标扣5分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vAlign w:val="center"/>
          </w:tcPr>
          <w:p>
            <w:pPr>
              <w:spacing w:line="240" w:lineRule="exact"/>
              <w:rPr>
                <w:rFonts w:ascii="宋体" w:hAnsi="宋体" w:cs="宋体"/>
              </w:rPr>
            </w:pPr>
            <w:r>
              <w:rPr>
                <w:rFonts w:hint="eastAsia" w:ascii="宋体" w:hAnsi="宋体" w:cs="宋体"/>
              </w:rPr>
              <w:t>2.装备管理规范，运行状态良好(60分)</w:t>
            </w:r>
          </w:p>
        </w:tc>
        <w:tc>
          <w:tcPr>
            <w:tcW w:w="0" w:type="auto"/>
            <w:vAlign w:val="center"/>
          </w:tcPr>
          <w:p>
            <w:pPr>
              <w:spacing w:line="240" w:lineRule="exact"/>
              <w:rPr>
                <w:rFonts w:ascii="宋体" w:hAnsi="宋体" w:cs="宋体"/>
              </w:rPr>
            </w:pPr>
            <w:r>
              <w:rPr>
                <w:rFonts w:hint="eastAsia" w:ascii="宋体" w:hAnsi="宋体" w:cs="宋体"/>
              </w:rPr>
              <w:t>2-1车辆、设备、药械及防护用品等装备，购置、使用、维修、保养、更新、报废等规章制度和管理人员岗位职贵健全落实</w:t>
            </w:r>
          </w:p>
        </w:tc>
        <w:tc>
          <w:tcPr>
            <w:tcW w:w="0" w:type="auto"/>
            <w:vAlign w:val="center"/>
          </w:tcPr>
          <w:p>
            <w:pPr>
              <w:spacing w:line="240" w:lineRule="exact"/>
              <w:jc w:val="center"/>
              <w:rPr>
                <w:rFonts w:ascii="宋体" w:hAnsi="宋体" w:cs="宋体"/>
              </w:rPr>
            </w:pPr>
            <w:r>
              <w:rPr>
                <w:rFonts w:hint="eastAsia" w:ascii="宋体" w:hAnsi="宋体" w:cs="宋体"/>
              </w:rPr>
              <w:t>20</w:t>
            </w:r>
          </w:p>
        </w:tc>
        <w:tc>
          <w:tcPr>
            <w:tcW w:w="0" w:type="auto"/>
            <w:vAlign w:val="center"/>
          </w:tcPr>
          <w:p>
            <w:pPr>
              <w:spacing w:line="240" w:lineRule="exact"/>
              <w:rPr>
                <w:rFonts w:ascii="宋体" w:hAnsi="宋体" w:cs="宋体"/>
              </w:rPr>
            </w:pPr>
            <w:r>
              <w:rPr>
                <w:rFonts w:hint="eastAsia" w:ascii="宋体" w:hAnsi="宋体" w:cs="宋体"/>
              </w:rPr>
              <w:t>查阅资料、实地随访、抽查考核</w:t>
            </w:r>
          </w:p>
        </w:tc>
        <w:tc>
          <w:tcPr>
            <w:tcW w:w="0" w:type="auto"/>
            <w:vAlign w:val="center"/>
          </w:tcPr>
          <w:p>
            <w:pPr>
              <w:spacing w:line="240" w:lineRule="exact"/>
              <w:rPr>
                <w:rFonts w:ascii="宋体" w:hAnsi="宋体" w:cs="宋体"/>
              </w:rPr>
            </w:pPr>
            <w:r>
              <w:rPr>
                <w:rFonts w:hint="eastAsia" w:ascii="宋体" w:hAnsi="宋体" w:cs="宋体"/>
              </w:rPr>
              <w:t>缺1项制度、职责或1项不落实扣5分，落实不全1项扣3分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2-2急救车辆与各种医疗设备能保持性能良好正常运行，运行良好率≥95%;车载急救药品器材品种、数量、质量始终保持备用常态，无假劣、过期或缺失</w:t>
            </w:r>
          </w:p>
        </w:tc>
        <w:tc>
          <w:tcPr>
            <w:tcW w:w="0" w:type="auto"/>
            <w:vAlign w:val="center"/>
          </w:tcPr>
          <w:p>
            <w:pPr>
              <w:spacing w:line="240" w:lineRule="exact"/>
              <w:jc w:val="center"/>
              <w:rPr>
                <w:rFonts w:ascii="宋体" w:hAnsi="宋体" w:cs="宋体"/>
              </w:rPr>
            </w:pPr>
            <w:r>
              <w:rPr>
                <w:rFonts w:hint="eastAsia" w:ascii="宋体" w:hAnsi="宋体" w:cs="宋体"/>
              </w:rPr>
              <w:t>30</w:t>
            </w:r>
          </w:p>
        </w:tc>
        <w:tc>
          <w:tcPr>
            <w:tcW w:w="0" w:type="auto"/>
            <w:vAlign w:val="center"/>
          </w:tcPr>
          <w:p>
            <w:pPr>
              <w:spacing w:line="240" w:lineRule="exact"/>
              <w:rPr>
                <w:rFonts w:ascii="宋体" w:hAnsi="宋体" w:cs="宋体"/>
              </w:rPr>
            </w:pPr>
            <w:r>
              <w:rPr>
                <w:rFonts w:hint="eastAsia" w:ascii="宋体" w:hAnsi="宋体" w:cs="宋体"/>
              </w:rPr>
              <w:t>查阅资料，现场查看急救车总数的30%,查看每辆急救车装备</w:t>
            </w:r>
          </w:p>
        </w:tc>
        <w:tc>
          <w:tcPr>
            <w:tcW w:w="0" w:type="auto"/>
            <w:vAlign w:val="center"/>
          </w:tcPr>
          <w:p>
            <w:pPr>
              <w:spacing w:line="240" w:lineRule="exact"/>
              <w:rPr>
                <w:rFonts w:ascii="宋体" w:hAnsi="宋体" w:cs="宋体"/>
              </w:rPr>
            </w:pPr>
            <w:r>
              <w:rPr>
                <w:rFonts w:hint="eastAsia" w:ascii="宋体" w:hAnsi="宋体" w:cs="宋体"/>
              </w:rPr>
              <w:t>良好率95%以下，有1辆车或</w:t>
            </w:r>
          </w:p>
          <w:p>
            <w:pPr>
              <w:spacing w:line="240" w:lineRule="exact"/>
              <w:rPr>
                <w:rFonts w:ascii="宋体" w:hAnsi="宋体" w:cs="宋体"/>
              </w:rPr>
            </w:pPr>
            <w:r>
              <w:rPr>
                <w:rFonts w:hint="eastAsia" w:ascii="宋体" w:hAnsi="宋体" w:cs="宋体"/>
              </w:rPr>
              <w:t>1种设备运行不正常扣5分；</w:t>
            </w:r>
          </w:p>
          <w:p>
            <w:pPr>
              <w:spacing w:line="240" w:lineRule="exact"/>
              <w:rPr>
                <w:rFonts w:ascii="宋体" w:hAnsi="宋体" w:cs="宋体"/>
              </w:rPr>
            </w:pPr>
            <w:r>
              <w:rPr>
                <w:rFonts w:hint="eastAsia" w:ascii="宋体" w:hAnsi="宋体" w:cs="宋体"/>
              </w:rPr>
              <w:t>1辆车药品器械有假劣、过期</w:t>
            </w:r>
          </w:p>
          <w:p>
            <w:pPr>
              <w:spacing w:line="240" w:lineRule="exact"/>
              <w:rPr>
                <w:rFonts w:ascii="宋体" w:hAnsi="宋体" w:cs="宋体"/>
              </w:rPr>
            </w:pPr>
            <w:r>
              <w:rPr>
                <w:rFonts w:hint="eastAsia" w:ascii="宋体" w:hAnsi="宋体" w:cs="宋体"/>
              </w:rPr>
              <w:t>或缺失扣3分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2-3库存(含卫生应急储备)药械无假劣</w:t>
            </w:r>
          </w:p>
        </w:tc>
        <w:tc>
          <w:tcPr>
            <w:tcW w:w="0" w:type="auto"/>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实地检查</w:t>
            </w:r>
          </w:p>
        </w:tc>
        <w:tc>
          <w:tcPr>
            <w:tcW w:w="0" w:type="auto"/>
            <w:vAlign w:val="center"/>
          </w:tcPr>
          <w:p>
            <w:pPr>
              <w:spacing w:line="240" w:lineRule="exact"/>
              <w:rPr>
                <w:rFonts w:ascii="宋体" w:hAnsi="宋体" w:cs="宋体"/>
              </w:rPr>
            </w:pPr>
            <w:r>
              <w:rPr>
                <w:rFonts w:hint="eastAsia" w:ascii="宋体" w:hAnsi="宋体" w:cs="宋体"/>
              </w:rPr>
              <w:t>发现1种假劣不得分</w:t>
            </w:r>
          </w:p>
        </w:tc>
      </w:tr>
    </w:tbl>
    <w:p>
      <w:pPr>
        <w:spacing w:line="240" w:lineRule="exact"/>
        <w:rPr>
          <w:rFonts w:ascii="宋体" w:hAnsi="宋体" w:cs="宋体"/>
        </w:rPr>
      </w:pPr>
    </w:p>
    <w:p>
      <w:pPr>
        <w:spacing w:before="118" w:line="222" w:lineRule="auto"/>
        <w:jc w:val="left"/>
        <w:outlineLvl w:val="0"/>
        <w:rPr>
          <w:rFonts w:ascii="宋体" w:hAnsi="宋体" w:cs="宋体"/>
          <w:b/>
          <w:bCs/>
          <w:spacing w:val="-12"/>
        </w:rPr>
      </w:pPr>
      <w:r>
        <w:rPr>
          <w:rFonts w:hint="eastAsia"/>
          <w:sz w:val="20"/>
          <w:szCs w:val="20"/>
        </w:rPr>
        <w:t>5.2.6.6</w:t>
      </w:r>
      <w:r>
        <w:rPr>
          <w:rFonts w:hint="eastAsia" w:ascii="宋体" w:hAnsi="宋体" w:cs="宋体"/>
          <w:b/>
          <w:bCs/>
          <w:spacing w:val="-12"/>
        </w:rPr>
        <w:t>医疗服务190分</w:t>
      </w:r>
    </w:p>
    <w:p>
      <w:pPr>
        <w:spacing w:line="240" w:lineRule="exact"/>
        <w:rPr>
          <w:rFonts w:ascii="宋体" w:hAnsi="宋体" w:cs="宋体"/>
        </w:rPr>
      </w:pPr>
    </w:p>
    <w:tbl>
      <w:tblPr>
        <w:tblStyle w:val="238"/>
        <w:tblW w:w="9348" w:type="dxa"/>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56"/>
        <w:gridCol w:w="4422"/>
        <w:gridCol w:w="261"/>
        <w:gridCol w:w="1066"/>
        <w:gridCol w:w="25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0" w:type="auto"/>
            <w:vAlign w:val="center"/>
          </w:tcPr>
          <w:p>
            <w:pPr>
              <w:spacing w:line="240" w:lineRule="exact"/>
              <w:jc w:val="center"/>
              <w:rPr>
                <w:rFonts w:ascii="宋体" w:hAnsi="宋体" w:cs="宋体"/>
              </w:rPr>
            </w:pPr>
            <w:r>
              <w:rPr>
                <w:rFonts w:hint="eastAsia" w:ascii="宋体" w:hAnsi="宋体" w:cs="宋体"/>
              </w:rPr>
              <w:t>标准</w:t>
            </w:r>
          </w:p>
        </w:tc>
        <w:tc>
          <w:tcPr>
            <w:tcW w:w="0" w:type="auto"/>
            <w:vAlign w:val="center"/>
          </w:tcPr>
          <w:p>
            <w:pPr>
              <w:spacing w:line="240" w:lineRule="exact"/>
              <w:jc w:val="center"/>
              <w:rPr>
                <w:rFonts w:ascii="宋体" w:hAnsi="宋体" w:cs="宋体"/>
              </w:rPr>
            </w:pPr>
            <w:r>
              <w:rPr>
                <w:rFonts w:hint="eastAsia" w:ascii="宋体" w:hAnsi="宋体" w:cs="宋体"/>
              </w:rPr>
              <w:t>基本要求</w:t>
            </w:r>
          </w:p>
        </w:tc>
        <w:tc>
          <w:tcPr>
            <w:tcW w:w="261" w:type="dxa"/>
            <w:vAlign w:val="center"/>
          </w:tcPr>
          <w:p>
            <w:pPr>
              <w:spacing w:line="240" w:lineRule="exact"/>
              <w:jc w:val="center"/>
              <w:rPr>
                <w:rFonts w:ascii="宋体" w:hAnsi="宋体" w:cs="宋体"/>
              </w:rPr>
            </w:pPr>
            <w:r>
              <w:rPr>
                <w:rFonts w:hint="eastAsia" w:ascii="宋体" w:hAnsi="宋体" w:cs="宋体"/>
              </w:rPr>
              <w:t>标准</w:t>
            </w:r>
          </w:p>
          <w:p>
            <w:pPr>
              <w:spacing w:line="240" w:lineRule="exact"/>
              <w:jc w:val="center"/>
              <w:rPr>
                <w:rFonts w:ascii="宋体" w:hAnsi="宋体" w:cs="宋体"/>
              </w:rPr>
            </w:pPr>
            <w:r>
              <w:rPr>
                <w:rFonts w:hint="eastAsia" w:ascii="宋体" w:hAnsi="宋体" w:cs="宋体"/>
              </w:rPr>
              <w:t>分</w:t>
            </w:r>
          </w:p>
        </w:tc>
        <w:tc>
          <w:tcPr>
            <w:tcW w:w="1066" w:type="dxa"/>
            <w:vAlign w:val="center"/>
          </w:tcPr>
          <w:p>
            <w:pPr>
              <w:spacing w:line="240" w:lineRule="exact"/>
              <w:jc w:val="center"/>
              <w:rPr>
                <w:rFonts w:ascii="宋体" w:hAnsi="宋体" w:cs="宋体"/>
              </w:rPr>
            </w:pPr>
            <w:r>
              <w:rPr>
                <w:rFonts w:hint="eastAsia" w:ascii="宋体" w:hAnsi="宋体" w:cs="宋体"/>
              </w:rPr>
              <w:t>考评方法</w:t>
            </w:r>
          </w:p>
        </w:tc>
        <w:tc>
          <w:tcPr>
            <w:tcW w:w="0" w:type="auto"/>
            <w:vAlign w:val="center"/>
          </w:tcPr>
          <w:p>
            <w:pPr>
              <w:spacing w:line="240" w:lineRule="exact"/>
              <w:jc w:val="center"/>
              <w:rPr>
                <w:rFonts w:ascii="宋体" w:hAnsi="宋体" w:cs="宋体"/>
              </w:rPr>
            </w:pPr>
            <w:r>
              <w:rPr>
                <w:rFonts w:hint="eastAsia" w:ascii="宋体" w:hAnsi="宋体" w:cs="宋体"/>
              </w:rPr>
              <w:t>扣分标准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1.急救网络健全满足服务需求(115分)</w:t>
            </w:r>
          </w:p>
        </w:tc>
        <w:tc>
          <w:tcPr>
            <w:tcW w:w="0" w:type="auto"/>
            <w:vAlign w:val="center"/>
          </w:tcPr>
          <w:p>
            <w:pPr>
              <w:spacing w:line="240" w:lineRule="exact"/>
              <w:rPr>
                <w:rFonts w:ascii="宋体" w:hAnsi="宋体" w:cs="宋体"/>
              </w:rPr>
            </w:pPr>
            <w:r>
              <w:rPr>
                <w:rFonts w:hint="eastAsia" w:ascii="宋体" w:hAnsi="宋体" w:cs="宋体"/>
              </w:rPr>
              <w:t>1-1分站按每10万～15万人口一个，经卫生行政部门批准设置，布局合理，装备齐全，管理规范，服从统一调度，服务良好</w:t>
            </w:r>
          </w:p>
        </w:tc>
        <w:tc>
          <w:tcPr>
            <w:tcW w:w="261" w:type="dxa"/>
            <w:vAlign w:val="center"/>
          </w:tcPr>
          <w:p>
            <w:pPr>
              <w:spacing w:line="240" w:lineRule="exact"/>
              <w:jc w:val="center"/>
              <w:rPr>
                <w:rFonts w:ascii="宋体" w:hAnsi="宋体" w:cs="宋体"/>
              </w:rPr>
            </w:pPr>
            <w:r>
              <w:rPr>
                <w:rFonts w:hint="eastAsia" w:ascii="宋体" w:hAnsi="宋体" w:cs="宋体"/>
              </w:rPr>
              <w:t>85</w:t>
            </w:r>
          </w:p>
        </w:tc>
        <w:tc>
          <w:tcPr>
            <w:tcW w:w="1066" w:type="dxa"/>
            <w:vAlign w:val="center"/>
          </w:tcPr>
          <w:p>
            <w:pPr>
              <w:spacing w:line="240" w:lineRule="exact"/>
              <w:rPr>
                <w:rFonts w:ascii="宋体" w:hAnsi="宋体" w:cs="宋体"/>
              </w:rPr>
            </w:pPr>
            <w:r>
              <w:rPr>
                <w:rFonts w:hint="eastAsia" w:ascii="宋体" w:hAnsi="宋体" w:cs="宋体"/>
              </w:rPr>
              <w:t>查阅资料、现场查看(随机抽查3～4个)</w:t>
            </w:r>
          </w:p>
        </w:tc>
        <w:tc>
          <w:tcPr>
            <w:tcW w:w="0" w:type="auto"/>
            <w:vAlign w:val="center"/>
          </w:tcPr>
          <w:p>
            <w:pPr>
              <w:spacing w:line="240" w:lineRule="exact"/>
              <w:rPr>
                <w:rFonts w:ascii="宋体" w:hAnsi="宋体" w:cs="宋体"/>
              </w:rPr>
            </w:pPr>
            <w:r>
              <w:rPr>
                <w:rFonts w:hint="eastAsia" w:ascii="宋体" w:hAnsi="宋体" w:cs="宋体"/>
              </w:rPr>
              <w:t>分站数量每少1%扣1分；有1个分站设置审批、布局、装备、管理、调度、服务不达标1项扣2分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1-2在卫生行政部门统一领导下，与分站及辖区医院做到区域、职能、分工明确，相互联络与协调机制健全，形成高效率的院前医疗急救服务网络</w:t>
            </w:r>
          </w:p>
        </w:tc>
        <w:tc>
          <w:tcPr>
            <w:tcW w:w="261" w:type="dxa"/>
            <w:vAlign w:val="center"/>
          </w:tcPr>
          <w:p>
            <w:pPr>
              <w:spacing w:line="240" w:lineRule="exact"/>
              <w:jc w:val="center"/>
              <w:rPr>
                <w:rFonts w:ascii="宋体" w:hAnsi="宋体" w:cs="宋体"/>
              </w:rPr>
            </w:pPr>
            <w:r>
              <w:rPr>
                <w:rFonts w:hint="eastAsia" w:ascii="宋体" w:hAnsi="宋体" w:cs="宋体"/>
              </w:rPr>
              <w:t>20</w:t>
            </w:r>
          </w:p>
        </w:tc>
        <w:tc>
          <w:tcPr>
            <w:tcW w:w="1066" w:type="dxa"/>
            <w:vAlign w:val="center"/>
          </w:tcPr>
          <w:p>
            <w:pPr>
              <w:spacing w:line="240" w:lineRule="exact"/>
              <w:rPr>
                <w:rFonts w:ascii="宋体" w:hAnsi="宋体" w:cs="宋体"/>
              </w:rPr>
            </w:pPr>
            <w:r>
              <w:rPr>
                <w:rFonts w:hint="eastAsia" w:ascii="宋体" w:hAnsi="宋体" w:cs="宋体"/>
              </w:rPr>
              <w:t>查阅资料，随机抽查、随访与复核</w:t>
            </w:r>
          </w:p>
        </w:tc>
        <w:tc>
          <w:tcPr>
            <w:tcW w:w="0" w:type="auto"/>
            <w:vAlign w:val="center"/>
          </w:tcPr>
          <w:p>
            <w:pPr>
              <w:spacing w:line="240" w:lineRule="exact"/>
              <w:rPr>
                <w:rFonts w:ascii="宋体" w:hAnsi="宋体" w:cs="宋体"/>
              </w:rPr>
            </w:pPr>
            <w:r>
              <w:rPr>
                <w:rFonts w:hint="eastAsia" w:ascii="宋体" w:hAnsi="宋体" w:cs="宋体"/>
              </w:rPr>
              <w:t>区域、职能、分工不明确扣10分；1项机制不健全扣5分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1-3与辖区110、119等联动服务机制健全落实</w:t>
            </w:r>
          </w:p>
        </w:tc>
        <w:tc>
          <w:tcPr>
            <w:tcW w:w="261" w:type="dxa"/>
            <w:vAlign w:val="center"/>
          </w:tcPr>
          <w:p>
            <w:pPr>
              <w:spacing w:line="240" w:lineRule="exact"/>
              <w:jc w:val="center"/>
              <w:rPr>
                <w:rFonts w:ascii="宋体" w:hAnsi="宋体" w:cs="宋体"/>
              </w:rPr>
            </w:pPr>
            <w:r>
              <w:rPr>
                <w:rFonts w:hint="eastAsia" w:ascii="宋体" w:hAnsi="宋体" w:cs="宋体"/>
              </w:rPr>
              <w:t>5</w:t>
            </w:r>
          </w:p>
        </w:tc>
        <w:tc>
          <w:tcPr>
            <w:tcW w:w="1066" w:type="dxa"/>
            <w:vAlign w:val="center"/>
          </w:tcPr>
          <w:p>
            <w:pPr>
              <w:spacing w:line="240" w:lineRule="exact"/>
              <w:rPr>
                <w:rFonts w:ascii="宋体" w:hAnsi="宋体" w:cs="宋体"/>
              </w:rPr>
            </w:pPr>
            <w:r>
              <w:rPr>
                <w:rFonts w:hint="eastAsia" w:ascii="宋体" w:hAnsi="宋体" w:cs="宋体"/>
              </w:rPr>
              <w:t>查阅资料、随访</w:t>
            </w:r>
          </w:p>
        </w:tc>
        <w:tc>
          <w:tcPr>
            <w:tcW w:w="0" w:type="auto"/>
            <w:vAlign w:val="center"/>
          </w:tcPr>
          <w:p>
            <w:pPr>
              <w:spacing w:line="240" w:lineRule="exact"/>
              <w:rPr>
                <w:rFonts w:ascii="宋体" w:hAnsi="宋体" w:cs="宋体"/>
              </w:rPr>
            </w:pPr>
            <w:r>
              <w:rPr>
                <w:rFonts w:hint="eastAsia" w:ascii="宋体" w:hAnsi="宋体" w:cs="宋体"/>
              </w:rPr>
              <w:t>1项不达标扣2.5分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1-4与机场、车站、码头等重要公共场所建立联系，保持通讯畅通</w:t>
            </w:r>
          </w:p>
        </w:tc>
        <w:tc>
          <w:tcPr>
            <w:tcW w:w="261" w:type="dxa"/>
            <w:vAlign w:val="center"/>
          </w:tcPr>
          <w:p>
            <w:pPr>
              <w:spacing w:line="240" w:lineRule="exact"/>
              <w:jc w:val="center"/>
              <w:rPr>
                <w:rFonts w:ascii="宋体" w:hAnsi="宋体" w:cs="宋体"/>
              </w:rPr>
            </w:pPr>
            <w:r>
              <w:rPr>
                <w:rFonts w:hint="eastAsia" w:ascii="宋体" w:hAnsi="宋体" w:cs="宋体"/>
              </w:rPr>
              <w:t>5</w:t>
            </w:r>
          </w:p>
        </w:tc>
        <w:tc>
          <w:tcPr>
            <w:tcW w:w="1066" w:type="dxa"/>
            <w:vAlign w:val="center"/>
          </w:tcPr>
          <w:p>
            <w:pPr>
              <w:spacing w:line="240" w:lineRule="exact"/>
              <w:rPr>
                <w:rFonts w:ascii="宋体" w:hAnsi="宋体" w:cs="宋体"/>
              </w:rPr>
            </w:pPr>
            <w:r>
              <w:rPr>
                <w:rFonts w:hint="eastAsia" w:ascii="宋体" w:hAnsi="宋体" w:cs="宋体"/>
              </w:rPr>
              <w:t>查阅资料、电话随访</w:t>
            </w:r>
          </w:p>
        </w:tc>
        <w:tc>
          <w:tcPr>
            <w:tcW w:w="0" w:type="auto"/>
            <w:vAlign w:val="center"/>
          </w:tcPr>
          <w:p>
            <w:pPr>
              <w:spacing w:line="240" w:lineRule="exact"/>
              <w:rPr>
                <w:rFonts w:ascii="宋体" w:hAnsi="宋体" w:cs="宋体"/>
              </w:rPr>
            </w:pPr>
            <w:r>
              <w:rPr>
                <w:rFonts w:hint="eastAsia" w:ascii="宋体" w:hAnsi="宋体" w:cs="宋体"/>
              </w:rPr>
              <w:t>1个场所未建立联系扣3分、不能持续保持通讯畅通扣1分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2.以病人为中心，服务热情周到(60分)</w:t>
            </w:r>
          </w:p>
        </w:tc>
        <w:tc>
          <w:tcPr>
            <w:tcW w:w="0" w:type="auto"/>
            <w:vAlign w:val="center"/>
          </w:tcPr>
          <w:p>
            <w:pPr>
              <w:spacing w:line="240" w:lineRule="exact"/>
              <w:rPr>
                <w:rFonts w:ascii="宋体" w:hAnsi="宋体" w:cs="宋体"/>
              </w:rPr>
            </w:pPr>
            <w:r>
              <w:rPr>
                <w:rFonts w:hint="eastAsia" w:ascii="宋体" w:hAnsi="宋体" w:cs="宋体"/>
              </w:rPr>
              <w:t>2-1应急反应迅速，接到派车指令，3分钟内出车，到达现场及时施救与转送救护</w:t>
            </w:r>
          </w:p>
        </w:tc>
        <w:tc>
          <w:tcPr>
            <w:tcW w:w="261" w:type="dxa"/>
            <w:vAlign w:val="center"/>
          </w:tcPr>
          <w:p>
            <w:pPr>
              <w:spacing w:line="240" w:lineRule="exact"/>
              <w:jc w:val="center"/>
              <w:rPr>
                <w:rFonts w:ascii="宋体" w:hAnsi="宋体" w:cs="宋体"/>
              </w:rPr>
            </w:pPr>
            <w:r>
              <w:rPr>
                <w:rFonts w:hint="eastAsia" w:ascii="宋体" w:hAnsi="宋体" w:cs="宋体"/>
              </w:rPr>
              <w:t>20</w:t>
            </w:r>
          </w:p>
        </w:tc>
        <w:tc>
          <w:tcPr>
            <w:tcW w:w="1066" w:type="dxa"/>
            <w:vAlign w:val="center"/>
          </w:tcPr>
          <w:p>
            <w:pPr>
              <w:spacing w:line="240" w:lineRule="exact"/>
              <w:rPr>
                <w:rFonts w:ascii="宋体" w:hAnsi="宋体" w:cs="宋体"/>
              </w:rPr>
            </w:pPr>
            <w:r>
              <w:rPr>
                <w:rFonts w:hint="eastAsia" w:ascii="宋体" w:hAnsi="宋体" w:cs="宋体"/>
              </w:rPr>
              <w:t>查阅资料，随访或随机电话抽查复核</w:t>
            </w:r>
          </w:p>
        </w:tc>
        <w:tc>
          <w:tcPr>
            <w:tcW w:w="0" w:type="auto"/>
            <w:vAlign w:val="center"/>
          </w:tcPr>
          <w:p>
            <w:pPr>
              <w:spacing w:line="240" w:lineRule="exact"/>
              <w:rPr>
                <w:rFonts w:ascii="宋体" w:hAnsi="宋体" w:cs="宋体"/>
              </w:rPr>
            </w:pPr>
            <w:r>
              <w:rPr>
                <w:rFonts w:hint="eastAsia" w:ascii="宋体" w:hAnsi="宋体" w:cs="宋体"/>
              </w:rPr>
              <w:t>出车原始资料记载1次不达标扣1分；抽查复核施救与转送救护1项/1人不达标扣5分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2-2坚持以抢救生命为宗旨，实行就近、就急、满足专业需要和符合患者意愿的转运原则合理转运病人；切实做好转运救护、联络和交接工作</w:t>
            </w:r>
          </w:p>
        </w:tc>
        <w:tc>
          <w:tcPr>
            <w:tcW w:w="261" w:type="dxa"/>
            <w:vAlign w:val="center"/>
          </w:tcPr>
          <w:p>
            <w:pPr>
              <w:spacing w:line="240" w:lineRule="exact"/>
              <w:jc w:val="center"/>
              <w:rPr>
                <w:rFonts w:ascii="宋体" w:hAnsi="宋体" w:cs="宋体"/>
              </w:rPr>
            </w:pPr>
            <w:r>
              <w:rPr>
                <w:rFonts w:hint="eastAsia" w:ascii="宋体" w:hAnsi="宋体" w:cs="宋体"/>
              </w:rPr>
              <w:t>20</w:t>
            </w:r>
          </w:p>
        </w:tc>
        <w:tc>
          <w:tcPr>
            <w:tcW w:w="1066" w:type="dxa"/>
            <w:vAlign w:val="center"/>
          </w:tcPr>
          <w:p>
            <w:pPr>
              <w:spacing w:line="240" w:lineRule="exact"/>
              <w:rPr>
                <w:rFonts w:ascii="宋体" w:hAnsi="宋体" w:cs="宋体"/>
              </w:rPr>
            </w:pPr>
            <w:r>
              <w:rPr>
                <w:rFonts w:hint="eastAsia" w:ascii="宋体" w:hAnsi="宋体" w:cs="宋体"/>
              </w:rPr>
              <w:t>查阅资料、随访或电话抽查了解</w:t>
            </w:r>
          </w:p>
        </w:tc>
        <w:tc>
          <w:tcPr>
            <w:tcW w:w="0" w:type="auto"/>
            <w:vAlign w:val="center"/>
          </w:tcPr>
          <w:p>
            <w:pPr>
              <w:spacing w:line="240" w:lineRule="exact"/>
              <w:rPr>
                <w:rFonts w:ascii="宋体" w:hAnsi="宋体" w:cs="宋体"/>
              </w:rPr>
            </w:pPr>
            <w:r>
              <w:rPr>
                <w:rFonts w:hint="eastAsia" w:ascii="宋体" w:hAnsi="宋体" w:cs="宋体"/>
              </w:rPr>
              <w:t>未按原则转运，1例扣10分；造成医疗纠纷或不良后果的，1例扣15分；转送救护、联络、交接不达标，发现1例扣5分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-3抵达救护现场的救护车标志规范、醒目，警报声洪亮、清晰；参与救护、转运的人员着装规范整洁，举止端庄，语言文明，态度和蔼，服务热情、周到、细致，无徇私行为，病人及其家属对急救医疗服务的满意度≥90%</w:t>
            </w:r>
          </w:p>
        </w:tc>
        <w:tc>
          <w:tcPr>
            <w:tcW w:w="261" w:type="dxa"/>
            <w:vAlign w:val="center"/>
          </w:tcPr>
          <w:p>
            <w:pPr>
              <w:spacing w:line="240" w:lineRule="exact"/>
              <w:jc w:val="center"/>
              <w:rPr>
                <w:rFonts w:ascii="宋体" w:hAnsi="宋体" w:cs="宋体"/>
              </w:rPr>
            </w:pPr>
            <w:r>
              <w:rPr>
                <w:rFonts w:hint="eastAsia" w:ascii="宋体" w:hAnsi="宋体" w:cs="宋体"/>
              </w:rPr>
              <w:t>10</w:t>
            </w:r>
          </w:p>
        </w:tc>
        <w:tc>
          <w:tcPr>
            <w:tcW w:w="1066" w:type="dxa"/>
            <w:vAlign w:val="center"/>
          </w:tcPr>
          <w:p>
            <w:pPr>
              <w:spacing w:line="240" w:lineRule="exact"/>
              <w:rPr>
                <w:rFonts w:ascii="宋体" w:hAnsi="宋体" w:cs="宋体"/>
              </w:rPr>
            </w:pPr>
            <w:r>
              <w:rPr>
                <w:rFonts w:hint="eastAsia" w:ascii="宋体" w:hAnsi="宋体" w:cs="宋体"/>
              </w:rPr>
              <w:t>查阅资料、电话抽查或问卷函调</w:t>
            </w:r>
          </w:p>
        </w:tc>
        <w:tc>
          <w:tcPr>
            <w:tcW w:w="0" w:type="auto"/>
            <w:vAlign w:val="center"/>
          </w:tcPr>
          <w:p>
            <w:pPr>
              <w:spacing w:line="240" w:lineRule="exact"/>
              <w:rPr>
                <w:rFonts w:ascii="宋体" w:hAnsi="宋体" w:cs="宋体"/>
              </w:rPr>
            </w:pPr>
            <w:r>
              <w:rPr>
                <w:rFonts w:hint="eastAsia" w:ascii="宋体" w:hAnsi="宋体" w:cs="宋体"/>
              </w:rPr>
              <w:t>1项1次不达标扣2分(查实有徇私行为的扣5分);满意度每下降1%扣2分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2-4救护车在显要位置公示收费价格</w:t>
            </w:r>
          </w:p>
        </w:tc>
        <w:tc>
          <w:tcPr>
            <w:tcW w:w="261" w:type="dxa"/>
            <w:vAlign w:val="center"/>
          </w:tcPr>
          <w:p>
            <w:pPr>
              <w:spacing w:line="240" w:lineRule="exact"/>
              <w:jc w:val="center"/>
              <w:rPr>
                <w:rFonts w:ascii="宋体" w:hAnsi="宋体" w:cs="宋体"/>
              </w:rPr>
            </w:pPr>
            <w:r>
              <w:rPr>
                <w:rFonts w:hint="eastAsia" w:ascii="宋体" w:hAnsi="宋体" w:cs="宋体"/>
              </w:rPr>
              <w:t>5</w:t>
            </w:r>
          </w:p>
        </w:tc>
        <w:tc>
          <w:tcPr>
            <w:tcW w:w="1066" w:type="dxa"/>
            <w:vAlign w:val="center"/>
          </w:tcPr>
          <w:p>
            <w:pPr>
              <w:spacing w:line="240" w:lineRule="exact"/>
              <w:rPr>
                <w:rFonts w:ascii="宋体" w:hAnsi="宋体" w:cs="宋体"/>
              </w:rPr>
            </w:pPr>
            <w:r>
              <w:rPr>
                <w:rFonts w:hint="eastAsia" w:ascii="宋体" w:hAnsi="宋体" w:cs="宋体"/>
              </w:rPr>
              <w:t>现场查看</w:t>
            </w:r>
          </w:p>
        </w:tc>
        <w:tc>
          <w:tcPr>
            <w:tcW w:w="0" w:type="auto"/>
            <w:vAlign w:val="center"/>
          </w:tcPr>
          <w:p>
            <w:pPr>
              <w:spacing w:line="240" w:lineRule="exact"/>
              <w:rPr>
                <w:rFonts w:ascii="宋体" w:hAnsi="宋体" w:cs="宋体"/>
              </w:rPr>
            </w:pPr>
            <w:r>
              <w:rPr>
                <w:rFonts w:hint="eastAsia" w:ascii="宋体" w:hAnsi="宋体" w:cs="宋体"/>
              </w:rPr>
              <w:t>价格公示，醒目易见。一辆车没有扣2分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2-5辖区指令性大型活动的急救医疗保障与日常长途转运服务，任务落实，管理制度健全，服务周到</w:t>
            </w:r>
          </w:p>
        </w:tc>
        <w:tc>
          <w:tcPr>
            <w:tcW w:w="261" w:type="dxa"/>
            <w:vAlign w:val="center"/>
          </w:tcPr>
          <w:p>
            <w:pPr>
              <w:spacing w:line="240" w:lineRule="exact"/>
              <w:jc w:val="center"/>
              <w:rPr>
                <w:rFonts w:ascii="宋体" w:hAnsi="宋体" w:cs="宋体"/>
              </w:rPr>
            </w:pPr>
            <w:r>
              <w:rPr>
                <w:rFonts w:hint="eastAsia" w:ascii="宋体" w:hAnsi="宋体" w:cs="宋体"/>
              </w:rPr>
              <w:t>5</w:t>
            </w:r>
          </w:p>
        </w:tc>
        <w:tc>
          <w:tcPr>
            <w:tcW w:w="1066" w:type="dxa"/>
            <w:vAlign w:val="center"/>
          </w:tcPr>
          <w:p>
            <w:pPr>
              <w:spacing w:line="240" w:lineRule="exact"/>
              <w:rPr>
                <w:rFonts w:ascii="宋体" w:hAnsi="宋体" w:cs="宋体"/>
              </w:rPr>
            </w:pPr>
            <w:r>
              <w:rPr>
                <w:rFonts w:hint="eastAsia" w:ascii="宋体" w:hAnsi="宋体" w:cs="宋体"/>
              </w:rPr>
              <w:t>查阅资料、电话抽查</w:t>
            </w:r>
          </w:p>
        </w:tc>
        <w:tc>
          <w:tcPr>
            <w:tcW w:w="0" w:type="auto"/>
            <w:vAlign w:val="center"/>
          </w:tcPr>
          <w:p>
            <w:pPr>
              <w:spacing w:line="240" w:lineRule="exact"/>
              <w:rPr>
                <w:rFonts w:ascii="宋体" w:hAnsi="宋体" w:cs="宋体"/>
              </w:rPr>
            </w:pPr>
            <w:r>
              <w:rPr>
                <w:rFonts w:hint="eastAsia" w:ascii="宋体" w:hAnsi="宋体" w:cs="宋体"/>
              </w:rPr>
              <w:t>1项不达标扣5分、做不全扣2.5分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3.正确对待投诉，不断改进服务(15分)</w:t>
            </w:r>
          </w:p>
        </w:tc>
        <w:tc>
          <w:tcPr>
            <w:tcW w:w="0" w:type="auto"/>
            <w:vAlign w:val="center"/>
          </w:tcPr>
          <w:p>
            <w:pPr>
              <w:spacing w:line="240" w:lineRule="exact"/>
              <w:rPr>
                <w:rFonts w:ascii="宋体" w:hAnsi="宋体" w:cs="宋体"/>
              </w:rPr>
            </w:pPr>
            <w:r>
              <w:rPr>
                <w:rFonts w:hint="eastAsia" w:ascii="宋体" w:hAnsi="宋体" w:cs="宋体"/>
              </w:rPr>
              <w:t>3-1对来信来访、媒体负面报道等各种形式的投诉与批评意见有专人负贵登记、调查、汇报与处理，并有翔实记录</w:t>
            </w:r>
          </w:p>
        </w:tc>
        <w:tc>
          <w:tcPr>
            <w:tcW w:w="261" w:type="dxa"/>
            <w:vAlign w:val="center"/>
          </w:tcPr>
          <w:p>
            <w:pPr>
              <w:spacing w:line="240" w:lineRule="exact"/>
              <w:jc w:val="center"/>
              <w:rPr>
                <w:rFonts w:ascii="宋体" w:hAnsi="宋体" w:cs="宋体"/>
              </w:rPr>
            </w:pPr>
            <w:r>
              <w:rPr>
                <w:rFonts w:hint="eastAsia" w:ascii="宋体" w:hAnsi="宋体" w:cs="宋体"/>
              </w:rPr>
              <w:t>5</w:t>
            </w:r>
          </w:p>
        </w:tc>
        <w:tc>
          <w:tcPr>
            <w:tcW w:w="1066" w:type="dxa"/>
            <w:vAlign w:val="center"/>
          </w:tcPr>
          <w:p>
            <w:pPr>
              <w:spacing w:line="240" w:lineRule="exact"/>
              <w:rPr>
                <w:rFonts w:ascii="宋体" w:hAnsi="宋体" w:cs="宋体"/>
              </w:rPr>
            </w:pPr>
            <w:r>
              <w:rPr>
                <w:rFonts w:hint="eastAsia" w:ascii="宋体" w:hAnsi="宋体" w:cs="宋体"/>
              </w:rPr>
              <w:t>查阅资料、随访</w:t>
            </w:r>
          </w:p>
        </w:tc>
        <w:tc>
          <w:tcPr>
            <w:tcW w:w="0" w:type="auto"/>
            <w:vAlign w:val="center"/>
          </w:tcPr>
          <w:p>
            <w:pPr>
              <w:spacing w:line="240" w:lineRule="exact"/>
              <w:rPr>
                <w:rFonts w:ascii="宋体" w:hAnsi="宋体" w:cs="宋体"/>
              </w:rPr>
            </w:pPr>
            <w:r>
              <w:rPr>
                <w:rFonts w:hint="eastAsia" w:ascii="宋体" w:hAnsi="宋体" w:cs="宋体"/>
              </w:rPr>
              <w:t>基本未做到不得分，做不全扣2分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3-2对每一件投诉或批评意见，主要领导或分管领导有处理与改进意见</w:t>
            </w:r>
          </w:p>
        </w:tc>
        <w:tc>
          <w:tcPr>
            <w:tcW w:w="261" w:type="dxa"/>
            <w:vAlign w:val="center"/>
          </w:tcPr>
          <w:p>
            <w:pPr>
              <w:spacing w:line="240" w:lineRule="exact"/>
              <w:jc w:val="center"/>
              <w:rPr>
                <w:rFonts w:ascii="宋体" w:hAnsi="宋体" w:cs="宋体"/>
              </w:rPr>
            </w:pPr>
          </w:p>
          <w:p>
            <w:pPr>
              <w:spacing w:line="240" w:lineRule="exact"/>
              <w:jc w:val="center"/>
              <w:rPr>
                <w:rFonts w:ascii="宋体" w:hAnsi="宋体" w:cs="宋体"/>
              </w:rPr>
            </w:pPr>
            <w:r>
              <w:rPr>
                <w:rFonts w:hint="eastAsia" w:ascii="宋体" w:hAnsi="宋体" w:cs="宋体"/>
              </w:rPr>
              <w:t>5</w:t>
            </w:r>
          </w:p>
        </w:tc>
        <w:tc>
          <w:tcPr>
            <w:tcW w:w="1066" w:type="dxa"/>
            <w:vAlign w:val="center"/>
          </w:tcPr>
          <w:p>
            <w:pPr>
              <w:spacing w:line="240" w:lineRule="exact"/>
              <w:rPr>
                <w:rFonts w:ascii="宋体" w:hAnsi="宋体" w:cs="宋体"/>
              </w:rPr>
            </w:pPr>
            <w:r>
              <w:rPr>
                <w:rFonts w:hint="eastAsia" w:ascii="宋体" w:hAnsi="宋体" w:cs="宋体"/>
              </w:rPr>
              <w:t>查阅资料、随访</w:t>
            </w:r>
          </w:p>
        </w:tc>
        <w:tc>
          <w:tcPr>
            <w:tcW w:w="0" w:type="auto"/>
            <w:vAlign w:val="center"/>
          </w:tcPr>
          <w:p>
            <w:pPr>
              <w:spacing w:line="240" w:lineRule="exact"/>
              <w:rPr>
                <w:rFonts w:ascii="宋体" w:hAnsi="宋体" w:cs="宋体"/>
              </w:rPr>
            </w:pPr>
            <w:r>
              <w:rPr>
                <w:rFonts w:hint="eastAsia" w:ascii="宋体" w:hAnsi="宋体" w:cs="宋体"/>
              </w:rPr>
              <w:t>基本未做到不得分，做不全扣2分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tcBorders>
            <w:vAlign w:val="center"/>
          </w:tcPr>
          <w:p>
            <w:pPr>
              <w:spacing w:line="240" w:lineRule="exact"/>
              <w:rPr>
                <w:rFonts w:ascii="宋体" w:hAnsi="宋体" w:cs="宋体"/>
              </w:rPr>
            </w:pPr>
          </w:p>
        </w:tc>
        <w:tc>
          <w:tcPr>
            <w:tcW w:w="0" w:type="auto"/>
            <w:vAlign w:val="center"/>
          </w:tcPr>
          <w:p>
            <w:pPr>
              <w:spacing w:line="240" w:lineRule="exact"/>
              <w:rPr>
                <w:rFonts w:ascii="宋体" w:hAnsi="宋体" w:cs="宋体"/>
              </w:rPr>
            </w:pPr>
            <w:r>
              <w:rPr>
                <w:rFonts w:hint="eastAsia" w:ascii="宋体" w:hAnsi="宋体" w:cs="宋体"/>
              </w:rPr>
              <w:t>3-3经办部门或经办人要将调查结论与领导处理和改进意见及时通报本单位相关部门与当事人，并向投诉、批评者或媒体反馈调查处理意见与改进情况</w:t>
            </w:r>
          </w:p>
        </w:tc>
        <w:tc>
          <w:tcPr>
            <w:tcW w:w="261" w:type="dxa"/>
            <w:vAlign w:val="center"/>
          </w:tcPr>
          <w:p>
            <w:pPr>
              <w:spacing w:line="240" w:lineRule="exact"/>
              <w:jc w:val="center"/>
              <w:rPr>
                <w:rFonts w:ascii="宋体" w:hAnsi="宋体" w:cs="宋体"/>
              </w:rPr>
            </w:pPr>
            <w:r>
              <w:rPr>
                <w:rFonts w:hint="eastAsia" w:ascii="宋体" w:hAnsi="宋体" w:cs="宋体"/>
              </w:rPr>
              <w:t>5</w:t>
            </w:r>
          </w:p>
        </w:tc>
        <w:tc>
          <w:tcPr>
            <w:tcW w:w="1066" w:type="dxa"/>
            <w:vAlign w:val="center"/>
          </w:tcPr>
          <w:p>
            <w:pPr>
              <w:spacing w:line="240" w:lineRule="exact"/>
              <w:rPr>
                <w:rFonts w:ascii="宋体" w:hAnsi="宋体" w:cs="宋体"/>
              </w:rPr>
            </w:pPr>
            <w:r>
              <w:rPr>
                <w:rFonts w:hint="eastAsia" w:ascii="宋体" w:hAnsi="宋体" w:cs="宋体"/>
              </w:rPr>
              <w:t>查阅资料、随访、电话抽查或函调复核</w:t>
            </w:r>
          </w:p>
        </w:tc>
        <w:tc>
          <w:tcPr>
            <w:tcW w:w="0" w:type="auto"/>
            <w:vAlign w:val="center"/>
          </w:tcPr>
          <w:p>
            <w:pPr>
              <w:spacing w:line="240" w:lineRule="exact"/>
              <w:rPr>
                <w:rFonts w:ascii="宋体" w:hAnsi="宋体" w:cs="宋体"/>
              </w:rPr>
            </w:pPr>
            <w:r>
              <w:rPr>
                <w:rFonts w:hint="eastAsia" w:ascii="宋体" w:hAnsi="宋体" w:cs="宋体"/>
              </w:rPr>
              <w:t>基本未做到或复核发现1例不真实(与记录不符)不得分；做不全扣2分</w:t>
            </w:r>
          </w:p>
        </w:tc>
      </w:tr>
    </w:tbl>
    <w:p>
      <w:pPr>
        <w:spacing w:line="240" w:lineRule="exact"/>
        <w:rPr>
          <w:rFonts w:ascii="宋体" w:hAnsi="宋体" w:cs="宋体"/>
        </w:rPr>
      </w:pPr>
    </w:p>
    <w:p>
      <w:pPr>
        <w:spacing w:before="118" w:line="222" w:lineRule="auto"/>
        <w:jc w:val="left"/>
        <w:outlineLvl w:val="0"/>
        <w:rPr>
          <w:rFonts w:ascii="宋体" w:hAnsi="宋体" w:cs="宋体"/>
          <w:b/>
          <w:bCs/>
          <w:spacing w:val="-12"/>
        </w:rPr>
      </w:pPr>
      <w:r>
        <w:rPr>
          <w:rFonts w:hint="eastAsia"/>
          <w:sz w:val="20"/>
          <w:szCs w:val="20"/>
        </w:rPr>
        <w:t>5.2.6.7</w:t>
      </w:r>
      <w:r>
        <w:rPr>
          <w:rFonts w:hint="eastAsia" w:ascii="宋体" w:hAnsi="宋体" w:cs="宋体"/>
          <w:b/>
          <w:bCs/>
          <w:spacing w:val="-12"/>
        </w:rPr>
        <w:t>卫生应急50分</w:t>
      </w:r>
    </w:p>
    <w:p>
      <w:pPr>
        <w:spacing w:line="240" w:lineRule="exact"/>
        <w:rPr>
          <w:rFonts w:ascii="宋体" w:hAnsi="宋体" w:cs="宋体"/>
        </w:rPr>
      </w:pPr>
    </w:p>
    <w:tbl>
      <w:tblPr>
        <w:tblStyle w:val="238"/>
        <w:tblW w:w="9314" w:type="dxa"/>
        <w:tblInd w:w="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18"/>
        <w:gridCol w:w="4543"/>
        <w:gridCol w:w="284"/>
        <w:gridCol w:w="1203"/>
        <w:gridCol w:w="22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Align w:val="center"/>
          </w:tcPr>
          <w:p>
            <w:pPr>
              <w:spacing w:line="240" w:lineRule="exact"/>
              <w:jc w:val="center"/>
              <w:rPr>
                <w:rFonts w:ascii="宋体" w:hAnsi="宋体" w:cs="宋体"/>
              </w:rPr>
            </w:pPr>
            <w:r>
              <w:rPr>
                <w:rFonts w:hint="eastAsia" w:ascii="宋体" w:hAnsi="宋体" w:cs="宋体"/>
              </w:rPr>
              <w:t>标准</w:t>
            </w:r>
          </w:p>
        </w:tc>
        <w:tc>
          <w:tcPr>
            <w:tcW w:w="4544" w:type="dxa"/>
            <w:vAlign w:val="center"/>
          </w:tcPr>
          <w:p>
            <w:pPr>
              <w:spacing w:line="240" w:lineRule="exact"/>
              <w:jc w:val="center"/>
              <w:rPr>
                <w:rFonts w:ascii="宋体" w:hAnsi="宋体" w:cs="宋体"/>
              </w:rPr>
            </w:pPr>
            <w:r>
              <w:rPr>
                <w:rFonts w:hint="eastAsia" w:ascii="宋体" w:hAnsi="宋体" w:cs="宋体"/>
              </w:rPr>
              <w:t>基本要求</w:t>
            </w:r>
          </w:p>
        </w:tc>
        <w:tc>
          <w:tcPr>
            <w:tcW w:w="284" w:type="dxa"/>
            <w:vAlign w:val="center"/>
          </w:tcPr>
          <w:p>
            <w:pPr>
              <w:spacing w:line="240" w:lineRule="exact"/>
              <w:jc w:val="center"/>
              <w:rPr>
                <w:rFonts w:ascii="宋体" w:hAnsi="宋体" w:cs="宋体"/>
              </w:rPr>
            </w:pPr>
            <w:r>
              <w:rPr>
                <w:rFonts w:hint="eastAsia" w:ascii="宋体" w:hAnsi="宋体" w:cs="宋体"/>
              </w:rPr>
              <w:t>标准</w:t>
            </w:r>
          </w:p>
          <w:p>
            <w:pPr>
              <w:spacing w:line="240" w:lineRule="exact"/>
              <w:jc w:val="center"/>
              <w:rPr>
                <w:rFonts w:ascii="宋体" w:hAnsi="宋体" w:cs="宋体"/>
              </w:rPr>
            </w:pPr>
            <w:r>
              <w:rPr>
                <w:rFonts w:hint="eastAsia" w:ascii="宋体" w:hAnsi="宋体" w:cs="宋体"/>
              </w:rPr>
              <w:t>分</w:t>
            </w:r>
          </w:p>
        </w:tc>
        <w:tc>
          <w:tcPr>
            <w:tcW w:w="0" w:type="auto"/>
            <w:vAlign w:val="center"/>
          </w:tcPr>
          <w:p>
            <w:pPr>
              <w:spacing w:line="240" w:lineRule="exact"/>
              <w:jc w:val="center"/>
              <w:rPr>
                <w:rFonts w:ascii="宋体" w:hAnsi="宋体" w:cs="宋体"/>
              </w:rPr>
            </w:pPr>
            <w:r>
              <w:rPr>
                <w:rFonts w:hint="eastAsia" w:ascii="宋体" w:hAnsi="宋体" w:cs="宋体"/>
              </w:rPr>
              <w:t>考评方法</w:t>
            </w:r>
          </w:p>
        </w:tc>
        <w:tc>
          <w:tcPr>
            <w:tcW w:w="0" w:type="auto"/>
            <w:vAlign w:val="center"/>
          </w:tcPr>
          <w:p>
            <w:pPr>
              <w:spacing w:line="240" w:lineRule="exact"/>
              <w:jc w:val="center"/>
              <w:rPr>
                <w:rFonts w:ascii="宋体" w:hAnsi="宋体" w:cs="宋体"/>
              </w:rPr>
            </w:pPr>
            <w:r>
              <w:rPr>
                <w:rFonts w:hint="eastAsia" w:ascii="宋体" w:hAnsi="宋体" w:cs="宋体"/>
              </w:rPr>
              <w:t>扣分标准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tcBorders>
              <w:bottom w:val="nil"/>
            </w:tcBorders>
            <w:vAlign w:val="center"/>
          </w:tcPr>
          <w:p>
            <w:pPr>
              <w:spacing w:line="240" w:lineRule="exact"/>
              <w:rPr>
                <w:rFonts w:ascii="宋体" w:hAnsi="宋体" w:cs="宋体"/>
              </w:rPr>
            </w:pPr>
            <w:r>
              <w:rPr>
                <w:rFonts w:hint="eastAsia" w:ascii="宋体" w:hAnsi="宋体" w:cs="宋体"/>
              </w:rPr>
              <w:t>1.应急准备充分(20分)</w:t>
            </w:r>
          </w:p>
        </w:tc>
        <w:tc>
          <w:tcPr>
            <w:tcW w:w="4544" w:type="dxa"/>
            <w:vAlign w:val="center"/>
          </w:tcPr>
          <w:p>
            <w:pPr>
              <w:spacing w:line="240" w:lineRule="exact"/>
              <w:rPr>
                <w:rFonts w:ascii="宋体" w:hAnsi="宋体" w:cs="宋体"/>
              </w:rPr>
            </w:pPr>
            <w:r>
              <w:rPr>
                <w:rFonts w:hint="eastAsia" w:ascii="宋体" w:hAnsi="宋体" w:cs="宋体"/>
              </w:rPr>
              <w:t>1-1应急组织、队伍健全，对各类突发事件应急预案、工作流程与岗位职责熟悉并巴通过培训和演练落实</w:t>
            </w:r>
          </w:p>
        </w:tc>
        <w:tc>
          <w:tcPr>
            <w:tcW w:w="284" w:type="dxa"/>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查阅资料，实地查看、抽查考核</w:t>
            </w:r>
          </w:p>
        </w:tc>
        <w:tc>
          <w:tcPr>
            <w:tcW w:w="0" w:type="auto"/>
            <w:vAlign w:val="center"/>
          </w:tcPr>
          <w:p>
            <w:pPr>
              <w:spacing w:line="240" w:lineRule="exact"/>
              <w:rPr>
                <w:rFonts w:ascii="宋体" w:hAnsi="宋体" w:cs="宋体"/>
              </w:rPr>
            </w:pPr>
            <w:r>
              <w:rPr>
                <w:rFonts w:hint="eastAsia" w:ascii="宋体" w:hAnsi="宋体" w:cs="宋体"/>
              </w:rPr>
              <w:t>1项不健全扣2分；未培训演练扣5分；抽考5人，1人不及格扣2分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bottom w:val="nil"/>
            </w:tcBorders>
            <w:vAlign w:val="center"/>
          </w:tcPr>
          <w:p>
            <w:pPr>
              <w:spacing w:line="240" w:lineRule="exact"/>
              <w:rPr>
                <w:rFonts w:ascii="宋体" w:hAnsi="宋体" w:cs="宋体"/>
              </w:rPr>
            </w:pPr>
          </w:p>
        </w:tc>
        <w:tc>
          <w:tcPr>
            <w:tcW w:w="4544" w:type="dxa"/>
            <w:vAlign w:val="center"/>
          </w:tcPr>
          <w:p>
            <w:pPr>
              <w:spacing w:line="240" w:lineRule="exact"/>
              <w:rPr>
                <w:rFonts w:ascii="宋体" w:hAnsi="宋体" w:cs="宋体"/>
              </w:rPr>
            </w:pPr>
            <w:r>
              <w:rPr>
                <w:rFonts w:hint="eastAsia" w:ascii="宋体" w:hAnsi="宋体" w:cs="宋体"/>
              </w:rPr>
              <w:t>1-2装备与物资储备符合《全国医疗机构卫生应急工作规范(试行)》(简称《规范》)或江苏省医疗机构卫生应急物资储备目录规定</w:t>
            </w:r>
          </w:p>
        </w:tc>
        <w:tc>
          <w:tcPr>
            <w:tcW w:w="284" w:type="dxa"/>
            <w:vAlign w:val="center"/>
          </w:tcPr>
          <w:p>
            <w:pPr>
              <w:spacing w:line="240" w:lineRule="exact"/>
              <w:jc w:val="center"/>
              <w:rPr>
                <w:rFonts w:ascii="宋体" w:hAnsi="宋体" w:cs="宋体"/>
              </w:rPr>
            </w:pPr>
            <w:r>
              <w:rPr>
                <w:rFonts w:hint="eastAsia" w:ascii="宋体" w:hAnsi="宋体" w:cs="宋体"/>
              </w:rPr>
              <w:t>5</w:t>
            </w:r>
          </w:p>
        </w:tc>
        <w:tc>
          <w:tcPr>
            <w:tcW w:w="0" w:type="auto"/>
            <w:vAlign w:val="center"/>
          </w:tcPr>
          <w:p>
            <w:pPr>
              <w:spacing w:line="240" w:lineRule="exact"/>
              <w:rPr>
                <w:rFonts w:ascii="宋体" w:hAnsi="宋体" w:cs="宋体"/>
              </w:rPr>
            </w:pPr>
            <w:r>
              <w:rPr>
                <w:rFonts w:hint="eastAsia" w:ascii="宋体" w:hAnsi="宋体" w:cs="宋体"/>
              </w:rPr>
              <w:t>查阅资料、实地查看</w:t>
            </w:r>
          </w:p>
        </w:tc>
        <w:tc>
          <w:tcPr>
            <w:tcW w:w="0" w:type="auto"/>
            <w:vAlign w:val="center"/>
          </w:tcPr>
          <w:p>
            <w:pPr>
              <w:spacing w:line="240" w:lineRule="exact"/>
              <w:rPr>
                <w:rFonts w:ascii="宋体" w:hAnsi="宋体" w:cs="宋体"/>
              </w:rPr>
            </w:pPr>
            <w:r>
              <w:rPr>
                <w:rFonts w:hint="eastAsia" w:ascii="宋体" w:hAnsi="宋体" w:cs="宋体"/>
              </w:rPr>
              <w:t>1项不符合扣2分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tcBorders>
            <w:vAlign w:val="center"/>
          </w:tcPr>
          <w:p>
            <w:pPr>
              <w:spacing w:line="240" w:lineRule="exact"/>
              <w:rPr>
                <w:rFonts w:ascii="宋体" w:hAnsi="宋体" w:cs="宋体"/>
              </w:rPr>
            </w:pPr>
          </w:p>
        </w:tc>
        <w:tc>
          <w:tcPr>
            <w:tcW w:w="4544" w:type="dxa"/>
            <w:vAlign w:val="center"/>
          </w:tcPr>
          <w:p>
            <w:pPr>
              <w:spacing w:line="240" w:lineRule="exact"/>
              <w:rPr>
                <w:rFonts w:ascii="宋体" w:hAnsi="宋体" w:cs="宋体"/>
              </w:rPr>
            </w:pPr>
            <w:r>
              <w:rPr>
                <w:rFonts w:hint="eastAsia" w:ascii="宋体" w:hAnsi="宋体" w:cs="宋体"/>
              </w:rPr>
              <w:t>1-3发生重大突发公共卫生事件，有车辆洗消的条件并能达到相关质量要求</w:t>
            </w:r>
          </w:p>
        </w:tc>
        <w:tc>
          <w:tcPr>
            <w:tcW w:w="284" w:type="dxa"/>
            <w:vAlign w:val="center"/>
          </w:tcPr>
          <w:p>
            <w:pPr>
              <w:spacing w:line="240" w:lineRule="exact"/>
              <w:jc w:val="center"/>
              <w:rPr>
                <w:rFonts w:ascii="宋体" w:hAnsi="宋体" w:cs="宋体"/>
              </w:rPr>
            </w:pPr>
            <w:r>
              <w:rPr>
                <w:rFonts w:hint="eastAsia" w:ascii="宋体" w:hAnsi="宋体" w:cs="宋体"/>
              </w:rPr>
              <w:t>5</w:t>
            </w:r>
          </w:p>
        </w:tc>
        <w:tc>
          <w:tcPr>
            <w:tcW w:w="0" w:type="auto"/>
            <w:vAlign w:val="center"/>
          </w:tcPr>
          <w:p>
            <w:pPr>
              <w:spacing w:line="240" w:lineRule="exact"/>
              <w:rPr>
                <w:rFonts w:ascii="宋体" w:hAnsi="宋体" w:cs="宋体"/>
              </w:rPr>
            </w:pPr>
            <w:r>
              <w:rPr>
                <w:rFonts w:hint="eastAsia" w:ascii="宋体" w:hAnsi="宋体" w:cs="宋体"/>
              </w:rPr>
              <w:t>实地查看</w:t>
            </w:r>
          </w:p>
        </w:tc>
        <w:tc>
          <w:tcPr>
            <w:tcW w:w="0" w:type="auto"/>
            <w:vAlign w:val="center"/>
          </w:tcPr>
          <w:p>
            <w:pPr>
              <w:spacing w:line="240" w:lineRule="exact"/>
              <w:rPr>
                <w:rFonts w:ascii="宋体" w:hAnsi="宋体" w:cs="宋体"/>
              </w:rPr>
            </w:pPr>
            <w:r>
              <w:rPr>
                <w:rFonts w:hint="eastAsia" w:ascii="宋体" w:hAnsi="宋体" w:cs="宋体"/>
              </w:rPr>
              <w:t>不符合不得分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Align w:val="center"/>
          </w:tcPr>
          <w:p>
            <w:pPr>
              <w:spacing w:line="240" w:lineRule="exact"/>
              <w:rPr>
                <w:rFonts w:ascii="宋体" w:hAnsi="宋体" w:cs="宋体"/>
              </w:rPr>
            </w:pPr>
            <w:r>
              <w:rPr>
                <w:rFonts w:hint="eastAsia" w:ascii="宋体" w:hAnsi="宋体" w:cs="宋体"/>
              </w:rPr>
              <w:t>2.应急管理规范(10分)</w:t>
            </w:r>
          </w:p>
        </w:tc>
        <w:tc>
          <w:tcPr>
            <w:tcW w:w="4544" w:type="dxa"/>
            <w:vAlign w:val="center"/>
          </w:tcPr>
          <w:p>
            <w:pPr>
              <w:spacing w:line="240" w:lineRule="exact"/>
              <w:rPr>
                <w:rFonts w:ascii="宋体" w:hAnsi="宋体" w:cs="宋体"/>
              </w:rPr>
            </w:pPr>
            <w:r>
              <w:rPr>
                <w:rFonts w:hint="eastAsia" w:ascii="宋体" w:hAnsi="宋体" w:cs="宋体"/>
              </w:rPr>
              <w:t>2-1管理制度健全并能落实(至少有：卫生应急的组织、队伍、通讯与调度、报告与信息、现场急救、转送分流、车辆与装备、物资储备等管理制度)</w:t>
            </w:r>
          </w:p>
        </w:tc>
        <w:tc>
          <w:tcPr>
            <w:tcW w:w="284" w:type="dxa"/>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查阅资料、随访与抽查考核</w:t>
            </w:r>
          </w:p>
        </w:tc>
        <w:tc>
          <w:tcPr>
            <w:tcW w:w="0" w:type="auto"/>
            <w:vAlign w:val="center"/>
          </w:tcPr>
          <w:p>
            <w:pPr>
              <w:spacing w:line="240" w:lineRule="exact"/>
              <w:rPr>
                <w:rFonts w:ascii="宋体" w:hAnsi="宋体" w:cs="宋体"/>
              </w:rPr>
            </w:pPr>
            <w:r>
              <w:rPr>
                <w:rFonts w:hint="eastAsia" w:ascii="宋体" w:hAnsi="宋体" w:cs="宋体"/>
              </w:rPr>
              <w:t>缺1项制度扣2分；1人对制度不熟悉扣2分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restart"/>
            <w:tcBorders>
              <w:bottom w:val="nil"/>
            </w:tcBorders>
            <w:vAlign w:val="center"/>
          </w:tcPr>
          <w:p>
            <w:pPr>
              <w:spacing w:line="240" w:lineRule="exact"/>
              <w:rPr>
                <w:rFonts w:ascii="宋体" w:hAnsi="宋体" w:cs="宋体"/>
              </w:rPr>
            </w:pPr>
          </w:p>
          <w:p>
            <w:pPr>
              <w:spacing w:line="240" w:lineRule="exact"/>
              <w:rPr>
                <w:rFonts w:ascii="宋体" w:hAnsi="宋体" w:cs="宋体"/>
              </w:rPr>
            </w:pPr>
            <w:r>
              <w:rPr>
                <w:rFonts w:hint="eastAsia" w:ascii="宋体" w:hAnsi="宋体" w:cs="宋体"/>
              </w:rPr>
              <w:t>3.应急处置及时正确(20分)</w:t>
            </w:r>
          </w:p>
        </w:tc>
        <w:tc>
          <w:tcPr>
            <w:tcW w:w="4544" w:type="dxa"/>
            <w:vAlign w:val="center"/>
          </w:tcPr>
          <w:p>
            <w:pPr>
              <w:spacing w:line="240" w:lineRule="exact"/>
              <w:rPr>
                <w:rFonts w:ascii="宋体" w:hAnsi="宋体" w:cs="宋体"/>
              </w:rPr>
            </w:pPr>
            <w:r>
              <w:rPr>
                <w:rFonts w:hint="eastAsia" w:ascii="宋体" w:hAnsi="宋体" w:cs="宋体"/>
              </w:rPr>
              <w:t>3-1突发事件应急调度、指挥与报告符合预案及《规范》要求</w:t>
            </w:r>
          </w:p>
        </w:tc>
        <w:tc>
          <w:tcPr>
            <w:tcW w:w="284" w:type="dxa"/>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查阅资料，随访或随机考核</w:t>
            </w:r>
          </w:p>
        </w:tc>
        <w:tc>
          <w:tcPr>
            <w:tcW w:w="0" w:type="auto"/>
            <w:vAlign w:val="center"/>
          </w:tcPr>
          <w:p>
            <w:pPr>
              <w:spacing w:line="240" w:lineRule="exact"/>
              <w:rPr>
                <w:rFonts w:ascii="宋体" w:hAnsi="宋体" w:cs="宋体"/>
              </w:rPr>
            </w:pPr>
            <w:r>
              <w:rPr>
                <w:rFonts w:hint="eastAsia" w:ascii="宋体" w:hAnsi="宋体" w:cs="宋体"/>
              </w:rPr>
              <w:t>1人不熟悉要求或考核不合格扣5分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0" w:type="auto"/>
            <w:vMerge w:val="continue"/>
            <w:tcBorders>
              <w:top w:val="nil"/>
            </w:tcBorders>
            <w:vAlign w:val="center"/>
          </w:tcPr>
          <w:p>
            <w:pPr>
              <w:spacing w:line="240" w:lineRule="exact"/>
              <w:rPr>
                <w:rFonts w:ascii="宋体" w:hAnsi="宋体" w:cs="宋体"/>
              </w:rPr>
            </w:pPr>
          </w:p>
        </w:tc>
        <w:tc>
          <w:tcPr>
            <w:tcW w:w="4544" w:type="dxa"/>
            <w:vAlign w:val="center"/>
          </w:tcPr>
          <w:p>
            <w:pPr>
              <w:spacing w:line="240" w:lineRule="exact"/>
              <w:rPr>
                <w:rFonts w:ascii="宋体" w:hAnsi="宋体" w:cs="宋体"/>
              </w:rPr>
            </w:pPr>
            <w:r>
              <w:rPr>
                <w:rFonts w:hint="eastAsia" w:ascii="宋体" w:hAnsi="宋体" w:cs="宋体"/>
              </w:rPr>
              <w:t>3-2突发事件应急现场急救和分流转送伤病员符合预案及《规范》要求</w:t>
            </w:r>
          </w:p>
        </w:tc>
        <w:tc>
          <w:tcPr>
            <w:tcW w:w="284" w:type="dxa"/>
            <w:vAlign w:val="center"/>
          </w:tcPr>
          <w:p>
            <w:pPr>
              <w:spacing w:line="240" w:lineRule="exact"/>
              <w:jc w:val="center"/>
              <w:rPr>
                <w:rFonts w:ascii="宋体" w:hAnsi="宋体" w:cs="宋体"/>
              </w:rPr>
            </w:pPr>
            <w:r>
              <w:rPr>
                <w:rFonts w:hint="eastAsia" w:ascii="宋体" w:hAnsi="宋体" w:cs="宋体"/>
              </w:rPr>
              <w:t>10</w:t>
            </w:r>
          </w:p>
        </w:tc>
        <w:tc>
          <w:tcPr>
            <w:tcW w:w="0" w:type="auto"/>
            <w:vAlign w:val="center"/>
          </w:tcPr>
          <w:p>
            <w:pPr>
              <w:spacing w:line="240" w:lineRule="exact"/>
              <w:rPr>
                <w:rFonts w:ascii="宋体" w:hAnsi="宋体" w:cs="宋体"/>
              </w:rPr>
            </w:pPr>
            <w:r>
              <w:rPr>
                <w:rFonts w:hint="eastAsia" w:ascii="宋体" w:hAnsi="宋体" w:cs="宋体"/>
              </w:rPr>
              <w:t>查阅资料，现场考核或演练</w:t>
            </w:r>
          </w:p>
        </w:tc>
        <w:tc>
          <w:tcPr>
            <w:tcW w:w="0" w:type="auto"/>
            <w:vAlign w:val="center"/>
          </w:tcPr>
          <w:p>
            <w:pPr>
              <w:spacing w:line="240" w:lineRule="exact"/>
              <w:rPr>
                <w:rFonts w:ascii="宋体" w:hAnsi="宋体" w:cs="宋体"/>
              </w:rPr>
            </w:pPr>
            <w:r>
              <w:rPr>
                <w:rFonts w:hint="eastAsia" w:ascii="宋体" w:hAnsi="宋体" w:cs="宋体"/>
              </w:rPr>
              <w:t>1人不熟悉要求或考核不合格扣5分</w:t>
            </w:r>
          </w:p>
        </w:tc>
      </w:tr>
    </w:tbl>
    <w:p>
      <w:pPr>
        <w:pStyle w:val="233"/>
        <w:rPr>
          <w:sz w:val="20"/>
          <w:szCs w:val="20"/>
        </w:rPr>
      </w:pPr>
    </w:p>
    <w:p>
      <w:pPr>
        <w:pStyle w:val="233"/>
        <w:rPr>
          <w:sz w:val="20"/>
          <w:szCs w:val="20"/>
        </w:rPr>
      </w:pPr>
    </w:p>
    <w:p>
      <w:pPr>
        <w:pStyle w:val="233"/>
        <w:rPr>
          <w:sz w:val="20"/>
          <w:szCs w:val="20"/>
        </w:rPr>
      </w:pPr>
    </w:p>
    <w:p>
      <w:pPr>
        <w:pStyle w:val="231"/>
        <w:spacing w:before="160" w:after="160" w:line="240" w:lineRule="auto"/>
        <w:ind w:firstLine="0"/>
        <w:rPr>
          <w:rFonts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5.3.应急预案管理</w:t>
      </w:r>
    </w:p>
    <w:p>
      <w:pPr>
        <w:pStyle w:val="57"/>
        <w:ind w:firstLine="420"/>
      </w:pPr>
      <w:r>
        <w:rPr>
          <w:rFonts w:hint="eastAsia"/>
        </w:rPr>
        <w:t>针对项目制定了详尽的设计、应急处理预案，整个流程严谨而有序。但是，在服务维护过程中，意外情况将难以完全避免。</w:t>
      </w:r>
    </w:p>
    <w:p>
      <w:pPr>
        <w:pStyle w:val="57"/>
        <w:ind w:firstLine="420"/>
      </w:pPr>
      <w:r>
        <w:rPr>
          <w:rFonts w:hint="eastAsia"/>
        </w:rPr>
        <w:t>下面，我们将对项目实施的突发风险进行详细分析，并且针对各类突发事件，设计了相应的预防与解决措施，同时提供了完整的应急处理流程。</w:t>
      </w:r>
    </w:p>
    <w:p>
      <w:pPr>
        <w:pStyle w:val="235"/>
        <w:spacing w:line="360" w:lineRule="auto"/>
        <w:rPr>
          <w:sz w:val="20"/>
          <w:szCs w:val="20"/>
        </w:rPr>
      </w:pPr>
      <w:r>
        <w:rPr>
          <w:rFonts w:hint="eastAsia"/>
          <w:sz w:val="20"/>
          <w:szCs w:val="20"/>
        </w:rPr>
        <w:t>5.3.1.设备发生被盗或人为损害事件应急预案</w:t>
      </w:r>
    </w:p>
    <w:p>
      <w:pPr>
        <w:pStyle w:val="57"/>
        <w:ind w:firstLine="420"/>
      </w:pPr>
      <w:r>
        <w:rPr>
          <w:rFonts w:hint="eastAsia"/>
        </w:rPr>
        <w:t>(1)发生设备被盗或人为损害设备情况时，使用者或管理者应立即报告应急处理小组，同时保护好现场。</w:t>
      </w:r>
    </w:p>
    <w:p>
      <w:pPr>
        <w:pStyle w:val="57"/>
        <w:ind w:firstLine="420"/>
      </w:pPr>
      <w:r>
        <w:rPr>
          <w:rFonts w:hint="eastAsia"/>
        </w:rPr>
        <w:t>(2)应急处理小组接报后，通知安保等相关部门，一同核实审定现场情况，清点被盗物资或盘查人为损害情况，做好必要的影像记录和文字记录。</w:t>
      </w:r>
    </w:p>
    <w:p>
      <w:pPr>
        <w:pStyle w:val="57"/>
        <w:ind w:firstLine="420"/>
      </w:pPr>
      <w:r>
        <w:rPr>
          <w:rFonts w:hint="eastAsia"/>
        </w:rPr>
        <w:t>(3)事发部门和当事人应当积极配合相关部门进行调查，并将有关情况向应急处理小组汇报。</w:t>
      </w:r>
    </w:p>
    <w:p>
      <w:pPr>
        <w:pStyle w:val="57"/>
        <w:ind w:firstLine="420"/>
      </w:pPr>
      <w:r>
        <w:rPr>
          <w:rFonts w:hint="eastAsia"/>
        </w:rPr>
        <w:t>(4)应急处理小组及时恢复设备正常运行，并对事件进行调查。必要时，应急处理小组及时上报市局应急办公室和相关部门。</w:t>
      </w:r>
    </w:p>
    <w:p>
      <w:pPr>
        <w:pStyle w:val="235"/>
        <w:spacing w:line="360" w:lineRule="auto"/>
        <w:rPr>
          <w:sz w:val="20"/>
          <w:szCs w:val="20"/>
        </w:rPr>
      </w:pPr>
      <w:r>
        <w:rPr>
          <w:rFonts w:hint="eastAsia"/>
          <w:sz w:val="20"/>
          <w:szCs w:val="20"/>
        </w:rPr>
        <w:t>5.3.2</w:t>
      </w:r>
      <w:r>
        <w:rPr>
          <w:rFonts w:hint="eastAsia"/>
          <w:color w:val="000000" w:themeColor="text1"/>
          <w:sz w:val="20"/>
          <w:szCs w:val="20"/>
          <w14:textFill>
            <w14:solidFill>
              <w14:schemeClr w14:val="tx1"/>
            </w14:solidFill>
          </w14:textFill>
        </w:rPr>
        <w:t>.通</w:t>
      </w:r>
      <w:r>
        <w:rPr>
          <w:rFonts w:hint="eastAsia"/>
          <w:sz w:val="20"/>
          <w:szCs w:val="20"/>
        </w:rPr>
        <w:t>信网络故障应急预案</w:t>
      </w:r>
    </w:p>
    <w:p>
      <w:pPr>
        <w:pStyle w:val="57"/>
        <w:ind w:firstLine="420"/>
      </w:pPr>
      <w:r>
        <w:rPr>
          <w:rFonts w:hint="eastAsia"/>
        </w:rPr>
        <w:t>(1)发生通信线路中断、路由故障、流量异常、域名系统故障后，操作员应及时通知应急处理小组。</w:t>
      </w:r>
    </w:p>
    <w:p>
      <w:pPr>
        <w:pStyle w:val="57"/>
        <w:ind w:firstLine="420"/>
      </w:pPr>
      <w:r>
        <w:rPr>
          <w:rFonts w:hint="eastAsia"/>
        </w:rPr>
        <w:t>(2)应急处理小组接报告后，应及时查清通信网络故障位置，隔离故障区域，并通知相关部门查清原因；同时及时组织相关技术人员检测故障区域，逐步恢复故障区与服务器的网络联接，恢复通信网络，保证正常运转。</w:t>
      </w:r>
    </w:p>
    <w:p>
      <w:pPr>
        <w:pStyle w:val="57"/>
        <w:ind w:firstLine="420"/>
      </w:pPr>
      <w:r>
        <w:rPr>
          <w:rFonts w:hint="eastAsia"/>
        </w:rPr>
        <w:t>(3)事态或后果严重的，应急处理小组应及时报告用户领导部门。</w:t>
      </w:r>
    </w:p>
    <w:p>
      <w:pPr>
        <w:pStyle w:val="57"/>
        <w:ind w:firstLine="420"/>
      </w:pPr>
      <w:r>
        <w:rPr>
          <w:rFonts w:hint="eastAsia"/>
        </w:rPr>
        <w:t>(4)应急处置结束后，应急处理小组应将故障分析报告，在调查结束后一日内书面报告用户领导部门。</w:t>
      </w:r>
    </w:p>
    <w:p>
      <w:pPr>
        <w:pStyle w:val="235"/>
        <w:spacing w:line="360" w:lineRule="auto"/>
      </w:pPr>
      <w:r>
        <w:rPr>
          <w:rFonts w:hint="eastAsia"/>
          <w:sz w:val="20"/>
          <w:szCs w:val="20"/>
        </w:rPr>
        <w:t>5.3.3.网络病毒事件应急预案</w:t>
      </w:r>
    </w:p>
    <w:p>
      <w:pPr>
        <w:pStyle w:val="57"/>
        <w:ind w:firstLine="420"/>
      </w:pPr>
      <w:r>
        <w:rPr>
          <w:rFonts w:hint="eastAsia"/>
        </w:rPr>
        <w:t>(1)发现网络病毒时，信息系统管理员应立即断开网线，终止网络病毒传播，并报告应急处理小组。</w:t>
      </w:r>
    </w:p>
    <w:p>
      <w:pPr>
        <w:pStyle w:val="57"/>
        <w:ind w:firstLine="420"/>
      </w:pPr>
      <w:r>
        <w:rPr>
          <w:rFonts w:hint="eastAsia"/>
        </w:rPr>
        <w:t>(2)相关应急保障小组应根据应急处理小组指令，采取隔离网络等措施，及时杀毒。</w:t>
      </w:r>
    </w:p>
    <w:p>
      <w:pPr>
        <w:pStyle w:val="57"/>
        <w:ind w:firstLine="420"/>
      </w:pPr>
      <w:r>
        <w:rPr>
          <w:rFonts w:hint="eastAsia"/>
        </w:rPr>
        <w:t>(3)事态或后果严重的，应急处理小组应及时报告用户领导。</w:t>
      </w:r>
    </w:p>
    <w:p>
      <w:pPr>
        <w:pStyle w:val="57"/>
        <w:ind w:firstLine="420"/>
      </w:pPr>
      <w:r>
        <w:rPr>
          <w:rFonts w:hint="eastAsia"/>
        </w:rPr>
        <w:t>(4)处置结束后，应急处理小组应将事发经过、造成影响、处置结果在调查工作结束后一日内书面报告用户领导部门。</w:t>
      </w:r>
    </w:p>
    <w:p>
      <w:pPr>
        <w:pStyle w:val="235"/>
        <w:spacing w:line="360" w:lineRule="auto"/>
        <w:rPr>
          <w:sz w:val="20"/>
          <w:szCs w:val="20"/>
        </w:rPr>
      </w:pPr>
      <w:r>
        <w:rPr>
          <w:rFonts w:hint="eastAsia"/>
          <w:sz w:val="20"/>
          <w:szCs w:val="20"/>
        </w:rPr>
        <w:t>5.3.4.软件系统故障应急预案</w:t>
      </w:r>
    </w:p>
    <w:p>
      <w:pPr>
        <w:pStyle w:val="57"/>
        <w:ind w:firstLine="420"/>
      </w:pPr>
      <w:r>
        <w:rPr>
          <w:rFonts w:hint="eastAsia"/>
        </w:rPr>
        <w:t>(1)发生软件系统故障后，应急处理小组应立即组织人员检查出现故障的原因并尽快排除。</w:t>
      </w:r>
    </w:p>
    <w:p>
      <w:pPr>
        <w:pStyle w:val="57"/>
        <w:ind w:firstLine="420"/>
      </w:pPr>
      <w:r>
        <w:rPr>
          <w:rFonts w:hint="eastAsia"/>
        </w:rPr>
        <w:t>(2)如遇重大故障不能解决时，应立即联系软件开发部门或设备供应单位共同查找原因，了解故障程度，着手抢修。</w:t>
      </w:r>
    </w:p>
    <w:p>
      <w:pPr>
        <w:pStyle w:val="57"/>
        <w:ind w:firstLine="420"/>
      </w:pPr>
      <w:r>
        <w:rPr>
          <w:rFonts w:hint="eastAsia"/>
        </w:rPr>
        <w:t>(3)如果超过2个小时还未修复完毕，严重影响了业务工作的正常进行，将通知相关业务单位采用其他方式尽力完成业务工作，待系统修复后输入业务系统。</w:t>
      </w:r>
    </w:p>
    <w:p>
      <w:pPr>
        <w:pStyle w:val="57"/>
        <w:ind w:firstLine="420"/>
      </w:pPr>
      <w:r>
        <w:rPr>
          <w:rFonts w:hint="eastAsia"/>
        </w:rPr>
        <w:t>(4)如遇数据库损坏等重大事故时，应将备份文件还原，避免重要数据的丢失。</w:t>
      </w:r>
    </w:p>
    <w:p>
      <w:pPr>
        <w:pStyle w:val="57"/>
        <w:ind w:firstLine="420"/>
      </w:pPr>
      <w:r>
        <w:rPr>
          <w:rFonts w:hint="eastAsia"/>
        </w:rPr>
        <w:t>(5)事态或后果严重的，及时报告用户领导小组。</w:t>
      </w:r>
    </w:p>
    <w:p>
      <w:pPr>
        <w:pStyle w:val="57"/>
        <w:ind w:firstLine="420"/>
      </w:pPr>
      <w:r>
        <w:rPr>
          <w:rFonts w:hint="eastAsia"/>
        </w:rPr>
        <w:t>(6)处置结束后，应急处理小组应将事发经过、处置结果等在调查工作结束后一日内报告用户领导小组。</w:t>
      </w:r>
    </w:p>
    <w:p>
      <w:pPr>
        <w:pStyle w:val="235"/>
        <w:spacing w:line="360" w:lineRule="auto"/>
        <w:rPr>
          <w:sz w:val="20"/>
          <w:szCs w:val="20"/>
        </w:rPr>
      </w:pPr>
      <w:r>
        <w:rPr>
          <w:rFonts w:hint="eastAsia"/>
          <w:sz w:val="20"/>
          <w:szCs w:val="20"/>
        </w:rPr>
        <w:t>5.3.5.黑客攻击事件应急预案</w:t>
      </w:r>
    </w:p>
    <w:p>
      <w:pPr>
        <w:pStyle w:val="57"/>
        <w:ind w:firstLine="420"/>
      </w:pPr>
      <w:r>
        <w:rPr>
          <w:rFonts w:hint="eastAsia"/>
        </w:rPr>
        <w:t>(1)当发现网络被非法入侵、内容被篡改，应用服务器上的数据被非法拷贝、修改、删除，或通过立即入侵检测系统发现有黑客正在进行攻击时，使用者或管理者应断开网络，并报告应急处理小组。</w:t>
      </w:r>
    </w:p>
    <w:p>
      <w:pPr>
        <w:pStyle w:val="57"/>
        <w:ind w:firstLine="420"/>
      </w:pPr>
      <w:r>
        <w:rPr>
          <w:rFonts w:hint="eastAsia"/>
        </w:rPr>
        <w:t>(2)接报告后，应急处理小组应立即指令相关应急保障小组核实情况，关闭服务器或系统，修改防火墙和路由器的过滤规则，封锁或删除被攻破的登陆帐号，阻断可疑用户进入网络的通道。</w:t>
      </w:r>
    </w:p>
    <w:p>
      <w:pPr>
        <w:pStyle w:val="57"/>
        <w:ind w:firstLine="420"/>
      </w:pPr>
      <w:r>
        <w:rPr>
          <w:rFonts w:hint="eastAsia"/>
        </w:rPr>
        <w:t>(3)及时清理系统，恢复数据、程序，恢复系统和网络正常；情况严重的，应上报用户领导和公司领导小组，并请求支援。</w:t>
      </w:r>
    </w:p>
    <w:p>
      <w:pPr>
        <w:pStyle w:val="57"/>
        <w:ind w:firstLine="420"/>
      </w:pPr>
      <w:r>
        <w:rPr>
          <w:rFonts w:hint="eastAsia"/>
        </w:rPr>
        <w:t>(4)处置结束后，应急处理小组应将事发经过、处置结果等在调查工作结束后一日内书面报告用户领导。</w:t>
      </w:r>
    </w:p>
    <w:p>
      <w:pPr>
        <w:pStyle w:val="235"/>
        <w:spacing w:line="360" w:lineRule="auto"/>
      </w:pPr>
      <w:r>
        <w:rPr>
          <w:rFonts w:hint="eastAsia"/>
          <w:sz w:val="20"/>
          <w:szCs w:val="20"/>
        </w:rPr>
        <w:t>5.3.6.核心设备硬件故障应急预案</w:t>
      </w:r>
    </w:p>
    <w:p>
      <w:pPr>
        <w:pStyle w:val="57"/>
        <w:ind w:firstLine="420"/>
      </w:pPr>
      <w:r>
        <w:rPr>
          <w:rFonts w:hint="eastAsia"/>
        </w:rPr>
        <w:t>(1)发生核心设备硬件故障后，应及时报告应急处理小组，并组织查找、确定故障设备及故障原因，进行先期处置。</w:t>
      </w:r>
    </w:p>
    <w:p>
      <w:pPr>
        <w:pStyle w:val="57"/>
        <w:ind w:firstLine="420"/>
      </w:pPr>
      <w:r>
        <w:rPr>
          <w:rFonts w:hint="eastAsia"/>
        </w:rPr>
        <w:t>(2)若故障设备在短时间内无法修复，应急保障小组应启动备份设备，保持系统正常运行；将故障设备脱离网络，进行故障排除工作。</w:t>
      </w:r>
    </w:p>
    <w:p>
      <w:pPr>
        <w:pStyle w:val="57"/>
        <w:ind w:firstLine="420"/>
      </w:pPr>
      <w:r>
        <w:rPr>
          <w:rFonts w:hint="eastAsia"/>
        </w:rPr>
        <w:t>(3)应急保障应在故障排除后，在网络空闲时期，替换备用设备；若故障仍然存在，立即联系相关厂商，认真填写设备故障报告单备查。</w:t>
      </w:r>
    </w:p>
    <w:p>
      <w:pPr>
        <w:pStyle w:val="57"/>
        <w:ind w:firstLine="420"/>
      </w:pPr>
      <w:r>
        <w:rPr>
          <w:rFonts w:hint="eastAsia"/>
        </w:rPr>
        <w:t>(4)事态后果严重的，应急处理小组及时报告用户领导小组。</w:t>
      </w:r>
      <w:bookmarkStart w:id="63" w:name="_GoBack"/>
      <w:bookmarkEnd w:id="63"/>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DB32/TXXXX—2024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instrText xml:space="preserve"> STYLEREF  标准文件_文件编号  \* MERGEFORMAT </w:instrText>
    </w:r>
    <w:r>
      <w:fldChar w:fldCharType="separate"/>
    </w:r>
    <w:r>
      <w:t>DB32/TXXXX—2024</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E4D45"/>
    <w:multiLevelType w:val="multilevel"/>
    <w:tmpl w:val="864E4D45"/>
    <w:lvl w:ilvl="0" w:tentative="0">
      <w:start w:val="1"/>
      <w:numFmt w:val="none"/>
      <w:lvlText w:val="%1"/>
      <w:lvlJc w:val="left"/>
      <w:pPr>
        <w:ind w:left="425" w:hanging="425"/>
      </w:pPr>
    </w:lvl>
    <w:lvl w:ilvl="1" w:tentative="0">
      <w:start w:val="1"/>
      <w:numFmt w:val="decimal"/>
      <w:suff w:val="nothing"/>
      <w:lvlText w:val="%10.%2 "/>
      <w:lvlJc w:val="left"/>
      <w:pPr>
        <w:ind w:left="0" w:firstLine="0"/>
      </w:pPr>
      <w:rPr>
        <w:rFonts w:hint="eastAsia" w:ascii="黑体" w:hAnsi="等线" w:eastAsia="黑体" w:cs="黑体"/>
        <w:b w:val="0"/>
        <w:i w:val="0"/>
        <w:sz w:val="21"/>
      </w:rPr>
    </w:lvl>
    <w:lvl w:ilvl="2" w:tentative="0">
      <w:start w:val="1"/>
      <w:numFmt w:val="decimal"/>
      <w:suff w:val="nothing"/>
      <w:lvlText w:val="%10.%2.%3 "/>
      <w:lvlJc w:val="left"/>
      <w:pPr>
        <w:ind w:left="0" w:firstLine="0"/>
      </w:pPr>
      <w:rPr>
        <w:rFonts w:hint="eastAsia" w:ascii="黑体" w:hAnsi="等线" w:eastAsia="黑体" w:cs="黑体"/>
        <w:b w:val="0"/>
        <w:i w:val="0"/>
        <w:sz w:val="21"/>
      </w:rPr>
    </w:lvl>
    <w:lvl w:ilvl="3" w:tentative="0">
      <w:start w:val="1"/>
      <w:numFmt w:val="decimal"/>
      <w:suff w:val="nothing"/>
      <w:lvlText w:val="%10.%2.%3.%4 "/>
      <w:lvlJc w:val="left"/>
      <w:pPr>
        <w:ind w:left="0" w:firstLine="0"/>
      </w:pPr>
      <w:rPr>
        <w:rFonts w:hint="eastAsia" w:ascii="黑体" w:hAnsi="等线" w:eastAsia="黑体" w:cs="黑体"/>
        <w:b w:val="0"/>
        <w:i w:val="0"/>
        <w:sz w:val="21"/>
      </w:rPr>
    </w:lvl>
    <w:lvl w:ilvl="4" w:tentative="0">
      <w:start w:val="1"/>
      <w:numFmt w:val="decimal"/>
      <w:suff w:val="nothing"/>
      <w:lvlText w:val="%10.%2.%3.%4.%5 "/>
      <w:lvlJc w:val="left"/>
      <w:pPr>
        <w:ind w:left="0" w:firstLine="0"/>
      </w:pPr>
      <w:rPr>
        <w:rFonts w:hint="eastAsia" w:ascii="黑体" w:hAnsi="等线" w:eastAsia="黑体" w:cs="黑体"/>
        <w:b w:val="0"/>
        <w:i w:val="0"/>
        <w:sz w:val="21"/>
      </w:rPr>
    </w:lvl>
    <w:lvl w:ilvl="5" w:tentative="0">
      <w:start w:val="1"/>
      <w:numFmt w:val="decimal"/>
      <w:suff w:val="nothing"/>
      <w:lvlText w:val="%10.%2.%3.%4.%5.%6 "/>
      <w:lvlJc w:val="left"/>
      <w:pPr>
        <w:ind w:left="0" w:firstLine="0"/>
      </w:pPr>
      <w:rPr>
        <w:rFonts w:hint="eastAsia" w:ascii="黑体" w:hAnsi="等线" w:eastAsia="黑体" w:cs="黑体"/>
        <w:b w:val="0"/>
        <w:i w:val="0"/>
        <w:sz w:val="21"/>
      </w:r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27CC32A"/>
    <w:multiLevelType w:val="multilevel"/>
    <w:tmpl w:val="127CC32A"/>
    <w:lvl w:ilvl="0" w:tentative="0">
      <w:start w:val="1"/>
      <w:numFmt w:val="none"/>
      <w:lvlText w:val="%1"/>
      <w:lvlJc w:val="left"/>
      <w:pPr>
        <w:ind w:left="425" w:hanging="425"/>
      </w:pPr>
    </w:lvl>
    <w:lvl w:ilvl="1" w:tentative="0">
      <w:start w:val="1"/>
      <w:numFmt w:val="decimal"/>
      <w:suff w:val="nothing"/>
      <w:lvlText w:val="%10.%2 "/>
      <w:lvlJc w:val="left"/>
      <w:pPr>
        <w:ind w:left="0" w:firstLine="0"/>
      </w:pPr>
      <w:rPr>
        <w:rFonts w:hint="eastAsia" w:ascii="黑体" w:hAnsi="等线" w:eastAsia="黑体" w:cs="黑体"/>
        <w:b w:val="0"/>
        <w:i w:val="0"/>
        <w:sz w:val="21"/>
      </w:rPr>
    </w:lvl>
    <w:lvl w:ilvl="2" w:tentative="0">
      <w:start w:val="1"/>
      <w:numFmt w:val="decimal"/>
      <w:suff w:val="nothing"/>
      <w:lvlText w:val="%10.%2.%3 "/>
      <w:lvlJc w:val="left"/>
      <w:pPr>
        <w:ind w:left="0" w:firstLine="0"/>
      </w:pPr>
      <w:rPr>
        <w:rFonts w:hint="eastAsia" w:ascii="黑体" w:hAnsi="等线" w:eastAsia="黑体" w:cs="黑体"/>
        <w:b w:val="0"/>
        <w:i w:val="0"/>
        <w:sz w:val="21"/>
      </w:rPr>
    </w:lvl>
    <w:lvl w:ilvl="3" w:tentative="0">
      <w:start w:val="1"/>
      <w:numFmt w:val="decimal"/>
      <w:suff w:val="nothing"/>
      <w:lvlText w:val="%10.%2.%3.%4 "/>
      <w:lvlJc w:val="left"/>
      <w:pPr>
        <w:ind w:left="0" w:firstLine="0"/>
      </w:pPr>
      <w:rPr>
        <w:rFonts w:hint="eastAsia" w:ascii="黑体" w:hAnsi="等线" w:eastAsia="黑体" w:cs="黑体"/>
        <w:b w:val="0"/>
        <w:i w:val="0"/>
        <w:sz w:val="21"/>
      </w:rPr>
    </w:lvl>
    <w:lvl w:ilvl="4" w:tentative="0">
      <w:start w:val="1"/>
      <w:numFmt w:val="decimal"/>
      <w:suff w:val="nothing"/>
      <w:lvlText w:val="%10.%2.%3.%4.%5 "/>
      <w:lvlJc w:val="left"/>
      <w:pPr>
        <w:ind w:left="0" w:firstLine="0"/>
      </w:pPr>
      <w:rPr>
        <w:rFonts w:hint="eastAsia" w:ascii="黑体" w:hAnsi="等线" w:eastAsia="黑体" w:cs="黑体"/>
        <w:b w:val="0"/>
        <w:i w:val="0"/>
        <w:sz w:val="21"/>
      </w:rPr>
    </w:lvl>
    <w:lvl w:ilvl="5" w:tentative="0">
      <w:start w:val="1"/>
      <w:numFmt w:val="decimal"/>
      <w:suff w:val="nothing"/>
      <w:lvlText w:val="%10.%2.%3.%4.%5.%6 "/>
      <w:lvlJc w:val="left"/>
      <w:pPr>
        <w:ind w:left="0" w:firstLine="0"/>
      </w:pPr>
      <w:rPr>
        <w:rFonts w:hint="eastAsia" w:ascii="黑体" w:hAnsi="等线" w:eastAsia="黑体" w:cs="黑体"/>
        <w:b w:val="0"/>
        <w:i w:val="0"/>
        <w:sz w:val="21"/>
      </w:r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D026CED"/>
    <w:multiLevelType w:val="multilevel"/>
    <w:tmpl w:val="5D026CED"/>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0"/>
  </w:num>
  <w:num w:numId="3">
    <w:abstractNumId w:val="6"/>
  </w:num>
  <w:num w:numId="4">
    <w:abstractNumId w:val="26"/>
  </w:num>
  <w:num w:numId="5">
    <w:abstractNumId w:val="20"/>
  </w:num>
  <w:num w:numId="6">
    <w:abstractNumId w:val="15"/>
  </w:num>
  <w:num w:numId="7">
    <w:abstractNumId w:val="10"/>
  </w:num>
  <w:num w:numId="8">
    <w:abstractNumId w:val="4"/>
  </w:num>
  <w:num w:numId="9">
    <w:abstractNumId w:val="11"/>
  </w:num>
  <w:num w:numId="10">
    <w:abstractNumId w:val="18"/>
  </w:num>
  <w:num w:numId="11">
    <w:abstractNumId w:val="28"/>
  </w:num>
  <w:num w:numId="12">
    <w:abstractNumId w:val="13"/>
  </w:num>
  <w:num w:numId="13">
    <w:abstractNumId w:val="14"/>
  </w:num>
  <w:num w:numId="14">
    <w:abstractNumId w:val="9"/>
  </w:num>
  <w:num w:numId="15">
    <w:abstractNumId w:val="21"/>
  </w:num>
  <w:num w:numId="16">
    <w:abstractNumId w:val="24"/>
  </w:num>
  <w:num w:numId="17">
    <w:abstractNumId w:val="19"/>
  </w:num>
  <w:num w:numId="18">
    <w:abstractNumId w:val="32"/>
  </w:num>
  <w:num w:numId="19">
    <w:abstractNumId w:val="17"/>
  </w:num>
  <w:num w:numId="20">
    <w:abstractNumId w:val="2"/>
  </w:num>
  <w:num w:numId="21">
    <w:abstractNumId w:val="12"/>
  </w:num>
  <w:num w:numId="22">
    <w:abstractNumId w:val="33"/>
  </w:num>
  <w:num w:numId="23">
    <w:abstractNumId w:val="23"/>
  </w:num>
  <w:num w:numId="24">
    <w:abstractNumId w:val="7"/>
  </w:num>
  <w:num w:numId="25">
    <w:abstractNumId w:val="29"/>
  </w:num>
  <w:num w:numId="26">
    <w:abstractNumId w:val="31"/>
  </w:num>
  <w:num w:numId="27">
    <w:abstractNumId w:val="3"/>
  </w:num>
  <w:num w:numId="28">
    <w:abstractNumId w:val="5"/>
  </w:num>
  <w:num w:numId="29">
    <w:abstractNumId w:val="16"/>
  </w:num>
  <w:num w:numId="30">
    <w:abstractNumId w:val="27"/>
  </w:num>
  <w:num w:numId="31">
    <w:abstractNumId w:val="25"/>
  </w:num>
  <w:num w:numId="32">
    <w:abstractNumId w:val="0"/>
  </w:num>
  <w:num w:numId="33">
    <w:abstractNumId w:val="8"/>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OTNhMGQ3Y2RmYmU4YTZlZjdjZDVlZDI0NzI0NWIifQ=="/>
  </w:docVars>
  <w:rsids>
    <w:rsidRoot w:val="00C52B7F"/>
    <w:rsid w:val="0000040A"/>
    <w:rsid w:val="00000A94"/>
    <w:rsid w:val="00001972"/>
    <w:rsid w:val="00001D9A"/>
    <w:rsid w:val="00007B3A"/>
    <w:rsid w:val="000107E0"/>
    <w:rsid w:val="00011FDE"/>
    <w:rsid w:val="00012FFD"/>
    <w:rsid w:val="000136FE"/>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806"/>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133"/>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6A0"/>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6E82"/>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CF2"/>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626"/>
    <w:rsid w:val="003331E4"/>
    <w:rsid w:val="00336C64"/>
    <w:rsid w:val="00337162"/>
    <w:rsid w:val="0034194F"/>
    <w:rsid w:val="00344605"/>
    <w:rsid w:val="003474AA"/>
    <w:rsid w:val="00350D1D"/>
    <w:rsid w:val="00352C83"/>
    <w:rsid w:val="003615D2"/>
    <w:rsid w:val="0036429C"/>
    <w:rsid w:val="00364A53"/>
    <w:rsid w:val="003650AE"/>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2D9"/>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8CE"/>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C0B"/>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7F1"/>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97F"/>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7A6"/>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112"/>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059"/>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BD5"/>
    <w:rsid w:val="009429D5"/>
    <w:rsid w:val="00942BF1"/>
    <w:rsid w:val="00944B3C"/>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5E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04C"/>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4B09"/>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C52"/>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FC0"/>
    <w:rsid w:val="00C013AD"/>
    <w:rsid w:val="00C04904"/>
    <w:rsid w:val="00C056B3"/>
    <w:rsid w:val="00C103E5"/>
    <w:rsid w:val="00C13319"/>
    <w:rsid w:val="00C13EE9"/>
    <w:rsid w:val="00C17240"/>
    <w:rsid w:val="00C21540"/>
    <w:rsid w:val="00C21906"/>
    <w:rsid w:val="00C21BFA"/>
    <w:rsid w:val="00C22148"/>
    <w:rsid w:val="00C22DC5"/>
    <w:rsid w:val="00C24C8D"/>
    <w:rsid w:val="00C25FE2"/>
    <w:rsid w:val="00C26B53"/>
    <w:rsid w:val="00C279B2"/>
    <w:rsid w:val="00C33E50"/>
    <w:rsid w:val="00C34C20"/>
    <w:rsid w:val="00C35A3E"/>
    <w:rsid w:val="00C42130"/>
    <w:rsid w:val="00C423A4"/>
    <w:rsid w:val="00C44BF5"/>
    <w:rsid w:val="00C521D6"/>
    <w:rsid w:val="00C52B7F"/>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C6D"/>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6E7B"/>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824"/>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5A6"/>
    <w:rsid w:val="00E447F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630FEB"/>
    <w:rsid w:val="0AE359CD"/>
    <w:rsid w:val="0B9A495D"/>
    <w:rsid w:val="14C0299B"/>
    <w:rsid w:val="1C2E1D55"/>
    <w:rsid w:val="1CF1273F"/>
    <w:rsid w:val="1EAC7DE6"/>
    <w:rsid w:val="213A483F"/>
    <w:rsid w:val="227E7031"/>
    <w:rsid w:val="29440079"/>
    <w:rsid w:val="2DB60B00"/>
    <w:rsid w:val="3922268D"/>
    <w:rsid w:val="424B6A62"/>
    <w:rsid w:val="479C2CA5"/>
    <w:rsid w:val="50A723BD"/>
    <w:rsid w:val="57F20ABD"/>
    <w:rsid w:val="64733ACD"/>
    <w:rsid w:val="6CA533B9"/>
    <w:rsid w:val="74577443"/>
    <w:rsid w:val="77716BAC"/>
    <w:rsid w:val="7E8409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paragraph" w:customStyle="1" w:styleId="231">
    <w:name w:val="71e7dc79-1ff7-45e8-997d-0ebda3762b91"/>
    <w:basedOn w:val="3"/>
    <w:link w:val="232"/>
    <w:uiPriority w:val="0"/>
    <w:pPr>
      <w:ind w:firstLine="420"/>
    </w:pPr>
  </w:style>
  <w:style w:type="character" w:customStyle="1" w:styleId="232">
    <w:name w:val="71e7dc79-1ff7-45e8-997d-0ebda3762b91 字符"/>
    <w:basedOn w:val="185"/>
    <w:link w:val="231"/>
    <w:uiPriority w:val="0"/>
    <w:rPr>
      <w:rFonts w:ascii="Arial" w:hAnsi="Arial" w:eastAsia="黑体"/>
      <w:b/>
      <w:bCs/>
      <w:kern w:val="2"/>
      <w:sz w:val="32"/>
      <w:szCs w:val="32"/>
    </w:rPr>
  </w:style>
  <w:style w:type="paragraph" w:customStyle="1" w:styleId="233">
    <w:name w:val="acbfdd8b-e11b-4d36-88ff-6049b138f862"/>
    <w:basedOn w:val="13"/>
    <w:link w:val="234"/>
    <w:qFormat/>
    <w:uiPriority w:val="0"/>
    <w:pPr>
      <w:spacing w:after="0" w:line="288" w:lineRule="auto"/>
      <w:jc w:val="left"/>
    </w:pPr>
    <w:rPr>
      <w:rFonts w:ascii="宋体" w:hAnsi="Times New Roman"/>
    </w:rPr>
  </w:style>
  <w:style w:type="character" w:customStyle="1" w:styleId="234">
    <w:name w:val="acbfdd8b-e11b-4d36-88ff-6049b138f862 字符"/>
    <w:basedOn w:val="185"/>
    <w:link w:val="233"/>
    <w:uiPriority w:val="0"/>
    <w:rPr>
      <w:rFonts w:ascii="宋体" w:hAnsi="Times New Roman"/>
      <w:kern w:val="2"/>
      <w:sz w:val="21"/>
      <w:szCs w:val="21"/>
    </w:rPr>
  </w:style>
  <w:style w:type="paragraph" w:customStyle="1" w:styleId="235">
    <w:name w:val="b63ee27f-4cf3-414c-9275-d88e3f90795e"/>
    <w:basedOn w:val="4"/>
    <w:next w:val="233"/>
    <w:link w:val="236"/>
    <w:uiPriority w:val="0"/>
    <w:pPr>
      <w:spacing w:before="0" w:after="0" w:line="288" w:lineRule="auto"/>
      <w:jc w:val="left"/>
    </w:pPr>
    <w:rPr>
      <w:rFonts w:ascii="宋体" w:hAnsi="Times New Roman"/>
    </w:rPr>
  </w:style>
  <w:style w:type="character" w:customStyle="1" w:styleId="236">
    <w:name w:val="b63ee27f-4cf3-414c-9275-d88e3f90795e 字符"/>
    <w:basedOn w:val="185"/>
    <w:link w:val="235"/>
    <w:qFormat/>
    <w:uiPriority w:val="0"/>
    <w:rPr>
      <w:rFonts w:ascii="宋体" w:hAnsi="Times New Roman"/>
      <w:b/>
      <w:bCs/>
      <w:kern w:val="2"/>
      <w:sz w:val="32"/>
      <w:szCs w:val="32"/>
    </w:rPr>
  </w:style>
  <w:style w:type="paragraph" w:customStyle="1" w:styleId="237">
    <w:name w:val="Table Text"/>
    <w:basedOn w:val="1"/>
    <w:semiHidden/>
    <w:qFormat/>
    <w:uiPriority w:val="0"/>
    <w:rPr>
      <w:rFonts w:ascii="宋体" w:hAnsi="宋体" w:cs="宋体"/>
      <w:sz w:val="25"/>
      <w:szCs w:val="25"/>
      <w:lang w:eastAsia="en-US"/>
    </w:rPr>
  </w:style>
  <w:style w:type="table" w:customStyle="1" w:styleId="23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2D79BB0B4794A0FB8EE78E56AC0C935"/>
        <w:style w:val=""/>
        <w:category>
          <w:name w:val="常规"/>
          <w:gallery w:val="placeholder"/>
        </w:category>
        <w:types>
          <w:type w:val="bbPlcHdr"/>
        </w:types>
        <w:behaviors>
          <w:behavior w:val="content"/>
        </w:behaviors>
        <w:description w:val=""/>
        <w:guid w:val="{F671AD59-DB80-48AC-992A-2E3AEA90360A}"/>
      </w:docPartPr>
      <w:docPartBody>
        <w:p>
          <w:pPr>
            <w:pStyle w:val="5"/>
          </w:pPr>
          <w:r>
            <w:rPr>
              <w:rStyle w:val="4"/>
              <w:rFonts w:hint="eastAsia"/>
            </w:rPr>
            <w:t>单击或点击此处输入文字。</w:t>
          </w:r>
        </w:p>
      </w:docPartBody>
    </w:docPart>
    <w:docPart>
      <w:docPartPr>
        <w:name w:val="D4109D3D390748E388BBB625C1FBC841"/>
        <w:style w:val=""/>
        <w:category>
          <w:name w:val="常规"/>
          <w:gallery w:val="placeholder"/>
        </w:category>
        <w:types>
          <w:type w:val="bbPlcHdr"/>
        </w:types>
        <w:behaviors>
          <w:behavior w:val="content"/>
        </w:behaviors>
        <w:description w:val=""/>
        <w:guid w:val="{19BED148-385D-4E5A-9161-49CADD6EF100}"/>
      </w:docPartPr>
      <w:docPartBody>
        <w:p>
          <w:pPr>
            <w:pStyle w:val="6"/>
          </w:pPr>
          <w:r>
            <w:rPr>
              <w:rStyle w:val="4"/>
              <w:rFonts w:hint="eastAsia"/>
            </w:rPr>
            <w:t>选择一项。</w:t>
          </w:r>
        </w:p>
      </w:docPartBody>
    </w:docPart>
    <w:docPart>
      <w:docPartPr>
        <w:name w:val="049EB52176A048A3A9814A4D5459CA0A"/>
        <w:style w:val=""/>
        <w:category>
          <w:name w:val="常规"/>
          <w:gallery w:val="placeholder"/>
        </w:category>
        <w:types>
          <w:type w:val="bbPlcHdr"/>
        </w:types>
        <w:behaviors>
          <w:behavior w:val="content"/>
        </w:behaviors>
        <w:description w:val=""/>
        <w:guid w:val="{D06EE5E3-1FE2-4506-B476-545B00F34D91}"/>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
  <w:rsids>
    <w:rsidRoot w:val="00980893"/>
    <w:rsid w:val="000136FE"/>
    <w:rsid w:val="001E1E3E"/>
    <w:rsid w:val="004048CE"/>
    <w:rsid w:val="004771F9"/>
    <w:rsid w:val="006077F1"/>
    <w:rsid w:val="007437A6"/>
    <w:rsid w:val="008D4BAD"/>
    <w:rsid w:val="00980893"/>
    <w:rsid w:val="00B11EBE"/>
    <w:rsid w:val="00C037DF"/>
    <w:rsid w:val="00C13C4C"/>
    <w:rsid w:val="00C22DC5"/>
    <w:rsid w:val="00D25479"/>
    <w:rsid w:val="00D839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2D79BB0B4794A0FB8EE78E56AC0C935"/>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6">
    <w:name w:val="D4109D3D390748E388BBB625C1FBC841"/>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7">
    <w:name w:val="049EB52176A048A3A9814A4D5459CA0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17</Pages>
  <Words>2421</Words>
  <Characters>13800</Characters>
  <Lines>115</Lines>
  <Paragraphs>32</Paragraphs>
  <TotalTime>2</TotalTime>
  <ScaleCrop>false</ScaleCrop>
  <LinksUpToDate>false</LinksUpToDate>
  <CharactersWithSpaces>16189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2024-06-16T16:33:00Z</dcterms:created>
  <dc:creator>yanghong</dc:creator>
  <dc:description>&lt;config cover="true" show_menu="true" version="1.0.0" doctype="SDKXY"&gt;_x000d_
&lt;/config&gt;</dc:description>
  <cp:lastModifiedBy>wdaifu</cp:lastModifiedBy>
  <cp:lastPrinted>2020-08-30T10:00:00Z</cp:lastPrinted>
  <dcterms:modified xsi:type="dcterms:W3CDTF">2024-08-13T02:32:03Z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2052-12.1.0.15120</vt:lpwstr>
  </property>
  <property fmtid="{D5CDD505-2E9C-101B-9397-08002B2CF9AE}" pid="15" name="ICV">
    <vt:lpwstr>38C9EA377DB149C8AC039EA84792A0A9_13</vt:lpwstr>
  </property>
</Properties>
</file>